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Security EU v3.0</w:t>
      </w:r>
    </w:p>
    <w:p>
      <w:r>
        <w:t>Department: Security</w:t>
      </w:r>
    </w:p>
    <w:p>
      <w:r>
        <w:t>Author: Avery Garcia</w:t>
      </w:r>
    </w:p>
    <w:p>
      <w:r>
        <w:t>Created date: 2024-12-11</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The Security organization uses Terraform to enforce consistent service baselines. Systems are monitored via Terraform and alert routing in Workday.</w:t>
      </w:r>
    </w:p>
    <w:p>
      <w:pPr>
        <w:pStyle w:val="ListBullet"/>
      </w:pPr>
      <w:r>
        <w:t>Evidence artifacts are retained in Workday for at least 12 months.</w:t>
      </w:r>
    </w:p>
    <w:p>
      <w:pPr>
        <w:pStyle w:val="ListBullet"/>
      </w:pPr>
      <w:r>
        <w:t>Teams must log requests in Workday and track outcomes in Log Aggregation Cluster for audit readiness.</w:t>
      </w:r>
    </w:p>
    <w:p>
      <w:pPr>
        <w:pStyle w:val="ListBullet"/>
      </w:pPr>
      <w:r>
        <w:t>Teams must log requests in Workday and track outcomes in Log Aggregation Cluster for audit readiness.</w:t>
      </w:r>
    </w:p>
    <w:p>
      <w:pPr>
        <w:pStyle w:val="ListBullet"/>
      </w:pPr>
      <w:r>
        <w:t>Evidence artifacts are retained in Workday for at least 12 months.</w:t>
      </w:r>
    </w:p>
    <w:p>
      <w:pPr>
        <w:pStyle w:val="ListBullet"/>
      </w:pPr>
      <w:r>
        <w:t>Evidence artifacts are retained in Workday for at least 12 months.</w:t>
      </w:r>
    </w:p>
    <w:p>
      <w:pPr>
        <w:pStyle w:val="ListBullet"/>
      </w:pPr>
      <w:r>
        <w:t>Regional teams in EU follow the same policy with localized legal review.</w:t>
      </w:r>
    </w:p>
    <w:p>
      <w:pPr>
        <w:pStyle w:val="Heading1"/>
      </w:pPr>
      <w:r>
        <w:t>Triage</w:t>
      </w:r>
    </w:p>
    <w:p>
      <w:r>
        <w:t>The Security team coordinates with Security Analyst to maintain operational readiness. Stakeholders include the Security Analyst, service owner, and compliance lead for approvals. Teams must log requests in Workday and track outcomes in Log Aggregation Cluster for audit readiness. Stakeholders include the Security Analyst, service owner, and compliance lead for approvals.</w:t>
      </w:r>
    </w:p>
    <w:p>
      <w:r>
        <w:t>Risk acceptance must be documented and revalidated each quarter. This document aligns with GDPR requirements and supports EU data residency expectations. The Security organization uses Terraform to enforce consistent service baselines.</w:t>
      </w:r>
    </w:p>
    <w:p>
      <w:pPr>
        <w:pStyle w:val="ListBullet"/>
      </w:pPr>
      <w:r>
        <w:t>The Security organization uses Terraform to enforce consistent service baselines.</w:t>
      </w:r>
    </w:p>
    <w:p>
      <w:pPr>
        <w:pStyle w:val="ListBullet"/>
      </w:pPr>
      <w:r>
        <w:t>Teams must log requests in Workday and track outcomes in Log Aggregation Cluster for audit readiness.</w:t>
      </w:r>
    </w:p>
    <w:p>
      <w:pPr>
        <w:pStyle w:val="ListBullet"/>
      </w:pPr>
      <w:r>
        <w:t>Escalations should follow the on-call rotation with a response target of 30 minutes.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The Security team coordinates with Security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Planned</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Vendor check</w:t>
            </w:r>
          </w:p>
        </w:tc>
        <w:tc>
          <w:tcPr>
            <w:tcW w:type="dxa" w:w="2880"/>
          </w:tcPr>
          <w:p>
            <w:r>
              <w:t>Operations</w:t>
            </w:r>
          </w:p>
        </w:tc>
        <w:tc>
          <w:tcPr>
            <w:tcW w:type="dxa" w:w="2880"/>
          </w:tcPr>
          <w:p>
            <w:r>
              <w:t>Blocked</w:t>
            </w:r>
          </w:p>
        </w:tc>
      </w:tr>
    </w:tbl>
    <w:p>
      <w:pPr>
        <w:pStyle w:val="Heading1"/>
      </w:pPr>
      <w:r>
        <w:t>Resolution</w:t>
      </w:r>
    </w:p>
    <w:p>
      <w:r>
        <w:t>The Security organization uses Terraform to enforce consistent service baselines. The Security organization uses Terraform to enforce consistent service baselines. Audit sampling occurs monthly and is summarized in leadership dashboards.</w:t>
      </w:r>
    </w:p>
    <w:p>
      <w:r>
        <w:t>The Security team coordinates with Security Analyst to maintain operational readiness. We prioritize customer impact, data integrity, and regulatory alignment. Systems are monitored via Terraform and alert routing in Workday. Systems are monitored via Terraform and alert routing in Workday.</w:t>
      </w:r>
    </w:p>
    <w:p>
      <w:pPr>
        <w:pStyle w:val="ListBullet"/>
      </w:pPr>
      <w:r>
        <w:t>We prioritize customer impact, data integrity, and regulatory alignment.</w:t>
      </w:r>
    </w:p>
    <w:p>
      <w:pPr>
        <w:pStyle w:val="ListBullet"/>
      </w:pPr>
      <w:r>
        <w:t>Systems are monitored via Terraform and alert routing in Workday.</w:t>
      </w:r>
    </w:p>
    <w:p>
      <w:pPr>
        <w:pStyle w:val="ListBullet"/>
      </w:pPr>
      <w:r>
        <w:t>Escalations should follow the on-call rotation with a response target of 30 minutes.</w:t>
      </w:r>
    </w:p>
    <w:p>
      <w:pPr>
        <w:pStyle w:val="ListBullet"/>
      </w:pPr>
      <w:r>
        <w:t>Regional teams in EU follow the same policy with localized legal review.</w:t>
      </w:r>
    </w:p>
    <w:p>
      <w:pPr>
        <w:pStyle w:val="ListBullet"/>
      </w:pPr>
      <w:r>
        <w:t>Escalations should follow the on-call rotation with a response target of 30 minutes.</w:t>
      </w:r>
    </w:p>
    <w:p>
      <w:pPr>
        <w:pStyle w:val="Heading1"/>
      </w:pPr>
      <w:r>
        <w:t>Escalation</w:t>
      </w:r>
    </w:p>
    <w:p>
      <w:r>
        <w:t>Evidence artifacts are retained in Workday for at least 12 months. Teams must log requests in Workday and track outcomes in Log Aggregation Cluster for audit readiness. Regional teams in EU follow the same policy with localized legal review. All incidents are tagged with severity and mapped to service tiers.</w:t>
      </w:r>
    </w:p>
    <w:p>
      <w:r>
        <w:t>Regional teams in EU follow the same policy with localized legal review. Regional teams in EU follow the same policy with localized legal review. The Security team coordinates with Security Analyst to maintain operational readiness.</w:t>
      </w:r>
    </w:p>
    <w:p>
      <w:pPr>
        <w:pStyle w:val="ListBullet"/>
      </w:pPr>
      <w:r>
        <w:t>The Security organization uses Terraform to enforce consistent service baselines.</w:t>
      </w:r>
    </w:p>
    <w:p>
      <w:pPr>
        <w:pStyle w:val="ListBullet"/>
      </w:pPr>
      <w:r>
        <w:t>Risk acceptance must be documented and revalidated each quarter.</w:t>
      </w:r>
    </w:p>
    <w:p>
      <w:pPr>
        <w:pStyle w:val="ListBullet"/>
      </w:pPr>
      <w:r>
        <w:t>The Security organization uses Terraform to enforce consistent service baselines.</w:t>
      </w:r>
    </w:p>
    <w:p>
      <w:pPr>
        <w:pStyle w:val="ListBullet"/>
      </w:pPr>
      <w:r>
        <w:t>We prioritize customer impact, data integrity, and regulatory alignment.</w:t>
      </w:r>
    </w:p>
    <w:p>
      <w:pPr>
        <w:pStyle w:val="Heading1"/>
      </w:pPr>
      <w:r>
        <w:t>Customer Follow-Up</w:t>
      </w:r>
    </w:p>
    <w:p>
      <w:r>
        <w:t>Evidence artifacts are retained in Workday for at least 12 months. The Security organization uses Terraform to enforce consistent service baselines.</w:t>
      </w:r>
    </w:p>
    <w:p>
      <w:r>
        <w:t>Teams must log requests in Workday and track outcomes in Log Aggregation Cluster for audit readiness. The process integrates with Log Aggregation Cluster and depends on Terraform for telemetry signals. Stakeholders include the Security Analyst, service owner, and compliance lead for approvals.</w:t>
      </w:r>
    </w:p>
    <w:p>
      <w:pPr>
        <w:pStyle w:val="ListBullet"/>
      </w:pPr>
      <w:r>
        <w:t>The Security organization uses Terraform to enforce consistent service baselines.</w:t>
      </w:r>
    </w:p>
    <w:p>
      <w:pPr>
        <w:pStyle w:val="ListBullet"/>
      </w:pPr>
      <w:r>
        <w:t>This document aligns with GDPR requirements and supports EU data residency expectations.</w:t>
      </w:r>
    </w:p>
    <w:p>
      <w:pPr>
        <w:pStyle w:val="ListBullet"/>
      </w:pPr>
      <w:r>
        <w:t>This document aligns with GDPR requirements and supports EU data residency expectations.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