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Security US v3.0</w:t>
      </w:r>
    </w:p>
    <w:p>
      <w:r>
        <w:t>Department: Security</w:t>
      </w:r>
    </w:p>
    <w:p>
      <w:r>
        <w:t>Author: Taylor Brown</w:t>
      </w:r>
    </w:p>
    <w:p>
      <w:r>
        <w:t>Created date: 2025-06-01</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All changes require peer review and validation in the Endpoint Management before production promotion. Escalations should follow the on-call rotation with a response target of 45 minutes. This document aligns with HIPAA requirements and supports US data residency expectations.</w:t>
      </w:r>
    </w:p>
    <w:p>
      <w:r>
        <w:t>Regional teams in US follow the same policy with localized legal review. Evidence artifacts are retained in Workday for at least 12 months. Teams must log requests in Workday and track outcomes in Endpoint Management for audit readiness.</w:t>
      </w:r>
    </w:p>
    <w:p>
      <w:pPr>
        <w:pStyle w:val="ListBullet"/>
      </w:pPr>
      <w:r>
        <w:t>Teams must log requests in Workday and track outcomes in Endpoint Management for audit readiness.</w:t>
      </w:r>
    </w:p>
    <w:p>
      <w:pPr>
        <w:pStyle w:val="ListBullet"/>
      </w:pPr>
      <w:r>
        <w:t>This document aligns with HIPAA requirements and supports US data residency expectations.</w:t>
      </w:r>
    </w:p>
    <w:p>
      <w:pPr>
        <w:pStyle w:val="ListBullet"/>
      </w:pPr>
      <w:r>
        <w:t>Stakeholders include the SRE, service owner, and compliance lead for approvals.</w:t>
      </w:r>
    </w:p>
    <w:p>
      <w:pPr>
        <w:pStyle w:val="ListBullet"/>
      </w:pPr>
      <w:r>
        <w:t>Evidence artifacts are retained in Workday for at least 12 months.</w:t>
      </w:r>
    </w:p>
    <w:p>
      <w:pPr>
        <w:pStyle w:val="ListBullet"/>
      </w:pPr>
      <w:r>
        <w:t>The Security organization uses Vault to enforce consistent service baselines.</w:t>
      </w:r>
    </w:p>
    <w:p>
      <w:pPr>
        <w:pStyle w:val="ListBullet"/>
      </w:pPr>
      <w:r>
        <w:t>Stakeholders include the SRE,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In Progress</w:t>
            </w:r>
          </w:p>
        </w:tc>
      </w:tr>
      <w:tr>
        <w:tc>
          <w:tcPr>
            <w:tcW w:type="dxa" w:w="2880"/>
          </w:tcPr>
          <w:p>
            <w:r>
              <w:t>Backup validation</w:t>
            </w:r>
          </w:p>
        </w:tc>
        <w:tc>
          <w:tcPr>
            <w:tcW w:type="dxa" w:w="2880"/>
          </w:tcPr>
          <w:p>
            <w:r>
              <w:t>SRE</w:t>
            </w:r>
          </w:p>
        </w:tc>
        <w:tc>
          <w:tcPr>
            <w:tcW w:type="dxa" w:w="2880"/>
          </w:tcPr>
          <w:p>
            <w:r>
              <w:t>Blocked</w:t>
            </w:r>
          </w:p>
        </w:tc>
      </w:tr>
      <w:tr>
        <w:tc>
          <w:tcPr>
            <w:tcW w:type="dxa" w:w="2880"/>
          </w:tcPr>
          <w:p>
            <w:r>
              <w:t>Access review</w:t>
            </w:r>
          </w:p>
        </w:tc>
        <w:tc>
          <w:tcPr>
            <w:tcW w:type="dxa" w:w="2880"/>
          </w:tcPr>
          <w:p>
            <w:r>
              <w:t>Security</w:t>
            </w:r>
          </w:p>
        </w:tc>
        <w:tc>
          <w:tcPr>
            <w:tcW w:type="dxa" w:w="2880"/>
          </w:tcPr>
          <w:p>
            <w:r>
              <w:t>Planned</w:t>
            </w:r>
          </w:p>
        </w:tc>
      </w:tr>
    </w:tbl>
    <w:p>
      <w:pPr>
        <w:pStyle w:val="Heading1"/>
      </w:pPr>
      <w:r>
        <w:t>Triage</w:t>
      </w:r>
    </w:p>
    <w:p>
      <w:r>
        <w:t>Evidence artifacts are retained in Workday for at least 12 months. Evidence artifacts are retained in Workday for at least 12 months. The process integrates with Endpoint Management and depends on Vault for telemetry signals. All incidents are tagged with severity and mapped to service tiers.</w:t>
      </w:r>
    </w:p>
    <w:p>
      <w:r>
        <w:t>The Security team coordinates with SRE to maintain operational readiness. All incidents are tagged with severity and mapped to service tiers.</w:t>
      </w:r>
    </w:p>
    <w:p>
      <w:pPr>
        <w:pStyle w:val="ListBullet"/>
      </w:pPr>
      <w:r>
        <w:t>We prioritize customer impact, data integrity, and regulatory alignment.</w:t>
      </w:r>
    </w:p>
    <w:p>
      <w:pPr>
        <w:pStyle w:val="ListBullet"/>
      </w:pPr>
      <w:r>
        <w:t>This document aligns with HIPAA requirements and supports US data residency expectations.</w:t>
      </w:r>
    </w:p>
    <w:p>
      <w:pPr>
        <w:pStyle w:val="ListBullet"/>
      </w:pPr>
      <w:r>
        <w:t>All incidents are tagged with severity and mapped to service tiers.</w:t>
      </w:r>
    </w:p>
    <w:p>
      <w:pPr>
        <w:pStyle w:val="ListBullet"/>
      </w:pPr>
      <w:r>
        <w:t>Systems are monitored via Vault and alert routing in Workday.</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SRE</w:t>
            </w:r>
          </w:p>
        </w:tc>
        <w:tc>
          <w:tcPr>
            <w:tcW w:type="dxa" w:w="2880"/>
          </w:tcPr>
          <w:p>
            <w:r>
              <w:t>Planned</w:t>
            </w:r>
          </w:p>
        </w:tc>
      </w:tr>
      <w:tr>
        <w:tc>
          <w:tcPr>
            <w:tcW w:type="dxa" w:w="2880"/>
          </w:tcPr>
          <w:p>
            <w:r>
              <w:t>Access review</w:t>
            </w:r>
          </w:p>
        </w:tc>
        <w:tc>
          <w:tcPr>
            <w:tcW w:type="dxa" w:w="2880"/>
          </w:tcPr>
          <w:p>
            <w:r>
              <w:t>SRE</w:t>
            </w:r>
          </w:p>
        </w:tc>
        <w:tc>
          <w:tcPr>
            <w:tcW w:type="dxa" w:w="2880"/>
          </w:tcPr>
          <w:p>
            <w:r>
              <w:t>Planned</w:t>
            </w:r>
          </w:p>
        </w:tc>
      </w:tr>
      <w:tr>
        <w:tc>
          <w:tcPr>
            <w:tcW w:type="dxa" w:w="2880"/>
          </w:tcPr>
          <w:p>
            <w:r>
              <w:t>Backup validation</w:t>
            </w:r>
          </w:p>
        </w:tc>
        <w:tc>
          <w:tcPr>
            <w:tcW w:type="dxa" w:w="2880"/>
          </w:tcPr>
          <w:p>
            <w:r>
              <w:t>Security</w:t>
            </w:r>
          </w:p>
        </w:tc>
        <w:tc>
          <w:tcPr>
            <w:tcW w:type="dxa" w:w="2880"/>
          </w:tcPr>
          <w:p>
            <w:r>
              <w:t>Planned</w:t>
            </w:r>
          </w:p>
        </w:tc>
      </w:tr>
    </w:tbl>
    <w:p>
      <w:pPr>
        <w:pStyle w:val="Heading1"/>
      </w:pPr>
      <w:r>
        <w:t>Resolution</w:t>
      </w:r>
    </w:p>
    <w:p>
      <w:r>
        <w:t>We prioritize customer impact, data integrity, and regulatory alignment. Risk acceptance must be documented and revalidated each quarter. Escalations should follow the on-call rotation with a response target of 45 minutes. Audit sampling occurs monthly and is summarized in leadership dashboards.</w:t>
      </w:r>
    </w:p>
    <w:p>
      <w:r>
        <w:t>Audit sampling occurs monthly and is summarized in leadership dashboards. The Security team coordinates with SRE to maintain operational readiness. This document aligns with HIPAA requirements and supports US data residency expectations. Teams must log requests in Workday and track outcomes in Endpoint Management for audit readiness.</w:t>
      </w:r>
    </w:p>
    <w:p>
      <w:pPr>
        <w:pStyle w:val="ListBullet"/>
      </w:pPr>
      <w:r>
        <w:t>All changes require peer review and validation in the Endpoint Management before production promotion.</w:t>
      </w:r>
    </w:p>
    <w:p>
      <w:pPr>
        <w:pStyle w:val="ListBullet"/>
      </w:pPr>
      <w:r>
        <w:t>All changes require peer review and validation in the Endpoint Management before production promotion.</w:t>
      </w:r>
    </w:p>
    <w:p>
      <w:pPr>
        <w:pStyle w:val="ListBullet"/>
      </w:pPr>
      <w:r>
        <w:t>Escalations should follow the on-call rotation with a response target of 45 minutes.</w:t>
      </w:r>
    </w:p>
    <w:p>
      <w:pPr>
        <w:pStyle w:val="ListBullet"/>
      </w:pPr>
      <w:r>
        <w:t>This document aligns with HIPAA requirements and supports US data residency expectations.</w:t>
      </w:r>
    </w:p>
    <w:p>
      <w:pPr>
        <w:pStyle w:val="ListBullet"/>
      </w:pPr>
      <w:r>
        <w:t>The process integrates with Endpoint Management and depends on Vault for telemetry signals.</w:t>
      </w:r>
    </w:p>
    <w:p>
      <w:pPr>
        <w:pStyle w:val="Heading1"/>
      </w:pPr>
      <w:r>
        <w:t>Escalation</w:t>
      </w:r>
    </w:p>
    <w:p>
      <w:r>
        <w:t>The Security team coordinates with SRE to maintain operational readiness. The Security team coordinates with SRE to maintain operational readiness. Stakeholders include the SRE, service owner, and compliance lead for approvals.</w:t>
      </w:r>
    </w:p>
    <w:p>
      <w:r>
        <w:t>Risk acceptance must be documented and revalidated each quarter. Risk acceptance must be documented and revalidated each quarter.</w:t>
      </w:r>
    </w:p>
    <w:p>
      <w:pPr>
        <w:pStyle w:val="ListBullet"/>
      </w:pPr>
      <w:r>
        <w:t>This document aligns with HIPAA requirements and supports US data residency expectations.</w:t>
      </w:r>
    </w:p>
    <w:p>
      <w:pPr>
        <w:pStyle w:val="ListBullet"/>
      </w:pPr>
      <w:r>
        <w:t>Stakeholders include the SRE, service owner, and compliance lead for approvals.</w:t>
      </w:r>
    </w:p>
    <w:p>
      <w:pPr>
        <w:pStyle w:val="ListBullet"/>
      </w:pPr>
      <w:r>
        <w:t>The Security organization uses Vault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Complete</w:t>
            </w:r>
          </w:p>
        </w:tc>
      </w:tr>
      <w:tr>
        <w:tc>
          <w:tcPr>
            <w:tcW w:type="dxa" w:w="2880"/>
          </w:tcPr>
          <w:p>
            <w:r>
              <w:t>Backup validation</w:t>
            </w:r>
          </w:p>
        </w:tc>
        <w:tc>
          <w:tcPr>
            <w:tcW w:type="dxa" w:w="2880"/>
          </w:tcPr>
          <w:p>
            <w:r>
              <w:t>SRE</w:t>
            </w:r>
          </w:p>
        </w:tc>
        <w:tc>
          <w:tcPr>
            <w:tcW w:type="dxa" w:w="2880"/>
          </w:tcPr>
          <w:p>
            <w:r>
              <w:t>Complete</w:t>
            </w:r>
          </w:p>
        </w:tc>
      </w:tr>
      <w:tr>
        <w:tc>
          <w:tcPr>
            <w:tcW w:type="dxa" w:w="2880"/>
          </w:tcPr>
          <w:p>
            <w:r>
              <w:t>Vendor check</w:t>
            </w:r>
          </w:p>
        </w:tc>
        <w:tc>
          <w:tcPr>
            <w:tcW w:type="dxa" w:w="2880"/>
          </w:tcPr>
          <w:p>
            <w:r>
              <w:t>SRE</w:t>
            </w:r>
          </w:p>
        </w:tc>
        <w:tc>
          <w:tcPr>
            <w:tcW w:type="dxa" w:w="2880"/>
          </w:tcPr>
          <w:p>
            <w:r>
              <w:t>Complete</w:t>
            </w:r>
          </w:p>
        </w:tc>
      </w:tr>
    </w:tbl>
    <w:p>
      <w:pPr>
        <w:pStyle w:val="Heading1"/>
      </w:pPr>
      <w:r>
        <w:t>Customer Follow-Up</w:t>
      </w:r>
    </w:p>
    <w:p>
      <w:r>
        <w:t>Stakeholders include the SRE, service owner, and compliance lead for approvals. Evidence artifacts are retained in Workday for at least 12 months. We prioritize customer impact, data integrity, and regulatory alignment. Risk acceptance must be documented and revalidated each quarter.</w:t>
      </w:r>
    </w:p>
    <w:p>
      <w:pPr>
        <w:pStyle w:val="ListBullet"/>
      </w:pPr>
      <w:r>
        <w:t>Audit sampling occurs monthly and is summarized in leadership dashboards.</w:t>
      </w:r>
    </w:p>
    <w:p>
      <w:pPr>
        <w:pStyle w:val="ListBullet"/>
      </w:pPr>
      <w:r>
        <w:t>Regional teams in US follow the same policy with localized legal review.</w:t>
      </w:r>
    </w:p>
    <w:p>
      <w:pPr>
        <w:pStyle w:val="ListBullet"/>
      </w:pPr>
      <w:r>
        <w:t>The Security team coordinates with SRE to maintain operational readiness.</w:t>
      </w:r>
    </w:p>
    <w:p>
      <w:pPr>
        <w:pStyle w:val="ListBullet"/>
      </w:pPr>
      <w:r>
        <w:t>Risk acceptance must be documented and revalidated each quarter.</w:t>
      </w:r>
    </w:p>
    <w:p>
      <w:pPr>
        <w:pStyle w:val="ListBullet"/>
      </w:pPr>
      <w:r>
        <w:t>All incidents are tagged with severity and mapped to service tiers.</w:t>
      </w:r>
    </w:p>
    <w:p>
      <w:pPr>
        <w:pStyle w:val="ListBullet"/>
      </w:pPr>
      <w:r>
        <w:t>Teams must log requests in Workday and track outcomes in Endpoint Management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