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Cloud Infrastructure US v3.0</w:t>
      </w:r>
    </w:p>
    <w:p>
      <w:r>
        <w:t>Department: Cloud Infrastructure</w:t>
      </w:r>
    </w:p>
    <w:p>
      <w:r>
        <w:t>Author: Avery Garcia</w:t>
      </w:r>
    </w:p>
    <w:p>
      <w:r>
        <w:t>Created date: 2025-07-01</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Audit sampling occurs monthly and is summarized in leadership dashboards. The Cloud Infrastructure organization uses Snowflake to enforce consistent service baselines.</w:t>
      </w:r>
    </w:p>
    <w:p>
      <w:r>
        <w:t>All incidents are tagged with severity and mapped to service tiers. The Cloud Infrastructure organization uses Snowflake to enforce consistent service baselines.</w:t>
      </w:r>
    </w:p>
    <w:p>
      <w:pPr>
        <w:pStyle w:val="ListBullet"/>
      </w:pPr>
      <w:r>
        <w:t>This document aligns with SOX requirements and supports US data residency expectations.</w:t>
      </w:r>
    </w:p>
    <w:p>
      <w:pPr>
        <w:pStyle w:val="ListBullet"/>
      </w:pPr>
      <w:r>
        <w:t>All incidents are tagged with severity and mapped to service tiers.</w:t>
      </w:r>
    </w:p>
    <w:p>
      <w:pPr>
        <w:pStyle w:val="ListBullet"/>
      </w:pPr>
      <w:r>
        <w:t>All changes require peer review and validation in the Identity Access Gateway before production promotion.</w:t>
      </w:r>
    </w:p>
    <w:p>
      <w:pPr>
        <w:pStyle w:val="ListBullet"/>
      </w:pPr>
      <w:r>
        <w:t>Evidence artifacts are retained in Salesforce for at least 18 months.</w:t>
      </w:r>
    </w:p>
    <w:p>
      <w:pPr>
        <w:pStyle w:val="ListBullet"/>
      </w:pPr>
      <w:r>
        <w:t>The process integrates with Identity Access Gateway and depends on Snowflake for telemetry signals.</w:t>
      </w:r>
    </w:p>
    <w:p>
      <w:pPr>
        <w:pStyle w:val="Heading1"/>
      </w:pPr>
      <w:r>
        <w:t>Change Management</w:t>
      </w:r>
    </w:p>
    <w:p>
      <w:r>
        <w:t>This document aligns with SOX requirements and supports US data residency expectations. Regional teams in US follow the same policy with localized legal review. The Cloud Infrastructure team coordinates with HR Business Partner to maintain operational readiness. Escalations should follow the on-call rotation with a response target of 60 minutes.</w:t>
      </w:r>
    </w:p>
    <w:p>
      <w:r>
        <w:t>All incidents are tagged with severity and mapped to service tiers. We prioritize customer impact, data integrity, and regulatory alignment.</w:t>
      </w:r>
    </w:p>
    <w:p>
      <w:pPr>
        <w:pStyle w:val="ListBullet"/>
      </w:pPr>
      <w:r>
        <w:t>Escalations should follow the on-call rotation with a response target of 60 minutes.</w:t>
      </w:r>
    </w:p>
    <w:p>
      <w:pPr>
        <w:pStyle w:val="ListBullet"/>
      </w:pPr>
      <w:r>
        <w:t>Teams must log requests in Salesforce and track outcomes in Identity Access Gateway for audit readiness.</w:t>
      </w:r>
    </w:p>
    <w:p>
      <w:pPr>
        <w:pStyle w:val="ListBullet"/>
      </w:pPr>
      <w:r>
        <w:t>The Cloud Infrastructure organization uses Snowflake to enforce consistent service baselines.</w:t>
      </w:r>
    </w:p>
    <w:p>
      <w:pPr>
        <w:pStyle w:val="ListBullet"/>
      </w:pPr>
      <w:r>
        <w:t>Evidence artifacts are retained in Salesforce for at least 18 months.</w:t>
      </w:r>
    </w:p>
    <w:p>
      <w:pPr>
        <w:pStyle w:val="ListBullet"/>
      </w:pPr>
      <w:r>
        <w:t>The Cloud Infrastructure team coordinates with HR Business Partner to maintain operational readiness.</w:t>
      </w:r>
    </w:p>
    <w:p>
      <w:pPr>
        <w:pStyle w:val="Heading1"/>
      </w:pPr>
      <w:r>
        <w:t>Release Workflow</w:t>
      </w:r>
    </w:p>
    <w:p>
      <w:r>
        <w:t>This document aligns with SOX requirements and supports US data residency expectations. We prioritize customer impact, data integrity, and regulatory alignment.</w:t>
      </w:r>
    </w:p>
    <w:p>
      <w:pPr>
        <w:pStyle w:val="ListBullet"/>
      </w:pPr>
      <w:r>
        <w:t>The Cloud Infrastructure team coordinates with HR Business Partner to maintain operational readiness.</w:t>
      </w:r>
    </w:p>
    <w:p>
      <w:pPr>
        <w:pStyle w:val="ListBullet"/>
      </w:pPr>
      <w:r>
        <w:t>Audit sampling occurs monthly and is summarized in leadership dashboards.</w:t>
      </w:r>
    </w:p>
    <w:p>
      <w:pPr>
        <w:pStyle w:val="ListBullet"/>
      </w:pPr>
      <w:r>
        <w:t>All changes require peer review and validation in the Identity Access Gateway before production promotion.</w:t>
      </w:r>
    </w:p>
    <w:p>
      <w:pPr>
        <w:pStyle w:val="ListBullet"/>
      </w:pPr>
      <w:r>
        <w:t>The Cloud Infrastructure team coordinates with HR Business Partner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Access review</w:t>
            </w:r>
          </w:p>
        </w:tc>
        <w:tc>
          <w:tcPr>
            <w:tcW w:type="dxa" w:w="2880"/>
          </w:tcPr>
          <w:p>
            <w:r>
              <w:t>Cloud Infrastructure</w:t>
            </w:r>
          </w:p>
        </w:tc>
        <w:tc>
          <w:tcPr>
            <w:tcW w:type="dxa" w:w="2880"/>
          </w:tcPr>
          <w:p>
            <w:r>
              <w:t>Complete</w:t>
            </w:r>
          </w:p>
        </w:tc>
      </w:tr>
      <w:tr>
        <w:tc>
          <w:tcPr>
            <w:tcW w:type="dxa" w:w="2880"/>
          </w:tcPr>
          <w:p>
            <w:r>
              <w:t>Vendor check</w:t>
            </w:r>
          </w:p>
        </w:tc>
        <w:tc>
          <w:tcPr>
            <w:tcW w:type="dxa" w:w="2880"/>
          </w:tcPr>
          <w:p>
            <w:r>
              <w:t>Security</w:t>
            </w:r>
          </w:p>
        </w:tc>
        <w:tc>
          <w:tcPr>
            <w:tcW w:type="dxa" w:w="2880"/>
          </w:tcPr>
          <w:p>
            <w:r>
              <w:t>Complete</w:t>
            </w:r>
          </w:p>
        </w:tc>
      </w:tr>
      <w:tr>
        <w:tc>
          <w:tcPr>
            <w:tcW w:type="dxa" w:w="2880"/>
          </w:tcPr>
          <w:p>
            <w:r>
              <w:t>Access review</w:t>
            </w:r>
          </w:p>
        </w:tc>
        <w:tc>
          <w:tcPr>
            <w:tcW w:type="dxa" w:w="2880"/>
          </w:tcPr>
          <w:p>
            <w:r>
              <w:t>HR Business Partner</w:t>
            </w:r>
          </w:p>
        </w:tc>
        <w:tc>
          <w:tcPr>
            <w:tcW w:type="dxa" w:w="2880"/>
          </w:tcPr>
          <w:p>
            <w:r>
              <w:t>Complete</w:t>
            </w:r>
          </w:p>
        </w:tc>
      </w:tr>
    </w:tbl>
    <w:p>
      <w:pPr>
        <w:pStyle w:val="Heading1"/>
      </w:pPr>
      <w:r>
        <w:t>Monitoring and Alerts</w:t>
      </w:r>
    </w:p>
    <w:p>
      <w:r>
        <w:t>Systems are monitored via Snowflake and alert routing in Salesforce. The Cloud Infrastructure organization uses Snowflake to enforce consistent service baselines. The process integrates with Identity Access Gateway and depends on Snowflake for telemetry signals. Teams must log requests in Salesforce and track outcomes in Identity Access Gateway for audit readiness.</w:t>
      </w:r>
    </w:p>
    <w:p>
      <w:r>
        <w:t>The process integrates with Identity Access Gateway and depends on Snowflake for telemetry signals. Escalations should follow the on-call rotation with a response target of 60 minutes.</w:t>
      </w:r>
    </w:p>
    <w:p>
      <w:pPr>
        <w:pStyle w:val="ListBullet"/>
      </w:pPr>
      <w:r>
        <w:t>The Cloud Infrastructure team coordinates with HR Business Partner to maintain operational readiness.</w:t>
      </w:r>
    </w:p>
    <w:p>
      <w:pPr>
        <w:pStyle w:val="ListBullet"/>
      </w:pPr>
      <w:r>
        <w:t>Evidence artifacts are retained in Salesforce for at least 18 months.</w:t>
      </w:r>
    </w:p>
    <w:p>
      <w:pPr>
        <w:pStyle w:val="ListBullet"/>
      </w:pPr>
      <w:r>
        <w:t>Systems are monitored via Snowflake and alert routing in Salesforce.</w:t>
      </w:r>
    </w:p>
    <w:p>
      <w:pPr>
        <w:pStyle w:val="ListBullet"/>
      </w:pPr>
      <w:r>
        <w:t>Escalations should follow the on-call rotation with a response target of 60 minutes.</w:t>
      </w:r>
    </w:p>
    <w:p>
      <w:pPr>
        <w:pStyle w:val="Heading1"/>
      </w:pPr>
      <w:r>
        <w:t>Post-Release Review</w:t>
      </w:r>
    </w:p>
    <w:p>
      <w:r>
        <w:t>Regional teams in US follow the same policy with localized legal review. All changes require peer review and validation in the Identity Access Gateway before production promotion. Evidence artifacts are retained in Salesforce for at least 18 months.</w:t>
      </w:r>
    </w:p>
    <w:p>
      <w:pPr>
        <w:pStyle w:val="ListBullet"/>
      </w:pPr>
      <w:r>
        <w:t>The Cloud Infrastructure organization uses Snowflake to enforce consistent service baselines.</w:t>
      </w:r>
    </w:p>
    <w:p>
      <w:pPr>
        <w:pStyle w:val="ListBullet"/>
      </w:pPr>
      <w:r>
        <w:t>Stakeholders include the HR Business Partner, service owner, and compliance lead for approvals.</w:t>
      </w:r>
    </w:p>
    <w:p>
      <w:pPr>
        <w:pStyle w:val="ListBullet"/>
      </w:pPr>
      <w:r>
        <w:t>Systems are monitored via Snowflake and alert routing in Salesforce.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