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Customer Support EU v3.0</w:t>
      </w:r>
    </w:p>
    <w:p>
      <w:r>
        <w:t>Department: Customer Support</w:t>
      </w:r>
    </w:p>
    <w:p>
      <w:r>
        <w:t>Author: Taylor Kim</w:t>
      </w:r>
    </w:p>
    <w:p>
      <w:r>
        <w:t>Created date: 2025-02-01</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Teams must log requests in Workday and track outcomes in Payment Processing Service for audit readiness. The Customer Support team coordinates with Compliance Manager to maintain operational readiness.</w:t>
      </w:r>
    </w:p>
    <w:p>
      <w:r>
        <w:t>Audit sampling occurs monthly and is summarized in leadership dashboards. All changes require peer review and validation in the Payment Processing Service before production promotion.</w:t>
      </w:r>
    </w:p>
    <w:p>
      <w:pPr>
        <w:pStyle w:val="ListBullet"/>
      </w:pPr>
      <w:r>
        <w:t>The Customer Support organization uses Terraform to enforce consistent service baselines.</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The process integrates with Payment Processing Service and depends on Terraform for telemetry signals.</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Change Management</w:t>
      </w:r>
    </w:p>
    <w:p>
      <w:r>
        <w:t>All incidents are tagged with severity and mapped to service tiers. Regional teams in EU follow the same policy with localized legal review. Audit sampling occurs monthly and is summarized in leadership dashboards. All changes require peer review and validation in the Payment Processing Service before production promotion.</w:t>
      </w:r>
    </w:p>
    <w:p>
      <w:pPr>
        <w:pStyle w:val="ListBullet"/>
      </w:pPr>
      <w:r>
        <w:t>The process integrates with Payment Processing Service and depends on Terraform for telemetry signals.</w:t>
      </w:r>
    </w:p>
    <w:p>
      <w:pPr>
        <w:pStyle w:val="ListBullet"/>
      </w:pPr>
      <w:r>
        <w:t>The Customer Support organization uses Terraform to enforce consistent service baselines.</w:t>
      </w:r>
    </w:p>
    <w:p>
      <w:pPr>
        <w:pStyle w:val="ListBullet"/>
      </w:pPr>
      <w:r>
        <w:t>The process integrates with Payment Processing Service and depends on Terraform for telemetry signals.</w:t>
      </w:r>
    </w:p>
    <w:p>
      <w:pPr>
        <w:pStyle w:val="Heading1"/>
      </w:pPr>
      <w:r>
        <w:t>Release Workflow</w:t>
      </w:r>
    </w:p>
    <w:p>
      <w:r>
        <w:t>The Customer Support organization uses Terraform to enforce consistent service baselines. All incidents are tagged with severity and mapped to service tiers. Regional teams in EU follow the same policy with localized legal review.</w:t>
      </w:r>
    </w:p>
    <w:p>
      <w:r>
        <w:t>The Customer Support team coordinates with Compliance Manager to maintain operational readiness. Teams must log requests in Workday and track outcomes in Payment Processing Service for audit readiness.</w:t>
      </w:r>
    </w:p>
    <w:p>
      <w:pPr>
        <w:pStyle w:val="ListBullet"/>
      </w:pPr>
      <w:r>
        <w:t>The Customer Support organization uses Terraform to enforce consistent service baselines.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process integrates with Payment Processing Service and depends on Terraform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r>
        <w:tc>
          <w:tcPr>
            <w:tcW w:type="dxa" w:w="2880"/>
          </w:tcPr>
          <w:p>
            <w:r>
              <w:t>Vendor check</w:t>
            </w:r>
          </w:p>
        </w:tc>
        <w:tc>
          <w:tcPr>
            <w:tcW w:type="dxa" w:w="2880"/>
          </w:tcPr>
          <w:p>
            <w:r>
              <w:t>Security</w:t>
            </w:r>
          </w:p>
        </w:tc>
        <w:tc>
          <w:tcPr>
            <w:tcW w:type="dxa" w:w="2880"/>
          </w:tcPr>
          <w:p>
            <w:r>
              <w:t>Planned</w:t>
            </w:r>
          </w:p>
        </w:tc>
      </w:tr>
      <w:tr>
        <w:tc>
          <w:tcPr>
            <w:tcW w:type="dxa" w:w="2880"/>
          </w:tcPr>
          <w:p>
            <w:r>
              <w:t>Backup validation</w:t>
            </w:r>
          </w:p>
        </w:tc>
        <w:tc>
          <w:tcPr>
            <w:tcW w:type="dxa" w:w="2880"/>
          </w:tcPr>
          <w:p>
            <w:r>
              <w:t>Operations</w:t>
            </w:r>
          </w:p>
        </w:tc>
        <w:tc>
          <w:tcPr>
            <w:tcW w:type="dxa" w:w="2880"/>
          </w:tcPr>
          <w:p>
            <w:r>
              <w:t>Complete</w:t>
            </w:r>
          </w:p>
        </w:tc>
      </w:tr>
    </w:tbl>
    <w:p>
      <w:pPr>
        <w:pStyle w:val="Heading1"/>
      </w:pPr>
      <w:r>
        <w:t>Monitoring and Alerts</w:t>
      </w:r>
    </w:p>
    <w:p>
      <w:r>
        <w:t>Teams must log requests in Workday and track outcomes in Payment Processing Service for audit readiness. We prioritize customer impact, data integrity, and regulatory alignment. Regional teams in EU follow the same policy with localized legal review. Stakeholders include the Compliance Manager, service owner, and compliance lead for approvals.</w:t>
      </w:r>
    </w:p>
    <w:p>
      <w:pPr>
        <w:pStyle w:val="ListBullet"/>
      </w:pPr>
      <w:r>
        <w:t>Escalations should follow the on-call rotation with a response target of 60 minutes.</w:t>
      </w:r>
    </w:p>
    <w:p>
      <w:pPr>
        <w:pStyle w:val="ListBullet"/>
      </w:pPr>
      <w:r>
        <w:t>The Customer Support organization uses Terraform to enforce consistent service baselines.</w:t>
      </w:r>
    </w:p>
    <w:p>
      <w:pPr>
        <w:pStyle w:val="ListBullet"/>
      </w:pPr>
      <w:r>
        <w:t>The Customer Support team coordinates with Compliance Manager to maintain operational readiness.</w:t>
      </w:r>
    </w:p>
    <w:p>
      <w:pPr>
        <w:pStyle w:val="ListBullet"/>
      </w:pPr>
      <w:r>
        <w:t>Evidence artifacts are retained in Workday for at least 24 months.</w:t>
      </w:r>
    </w:p>
    <w:p>
      <w:pPr>
        <w:pStyle w:val="ListBullet"/>
      </w:pPr>
      <w:r>
        <w:t>Teams must log requests in Workday and track outcomes in Payment Processing Service for audit readiness.</w:t>
      </w:r>
    </w:p>
    <w:p>
      <w:pPr>
        <w:pStyle w:val="ListBullet"/>
      </w:pPr>
      <w:r>
        <w:t>Stakeholders include the Compliance Manager, service owner, and compliance lead for approvals.</w:t>
      </w:r>
    </w:p>
    <w:p>
      <w:pPr>
        <w:pStyle w:val="Heading1"/>
      </w:pPr>
      <w:r>
        <w:t>Post-Release Review</w:t>
      </w:r>
    </w:p>
    <w:p>
      <w:r>
        <w:t>The Customer Support team coordinates with Compliance Manager to maintain operational readiness. The Customer Support team coordinates with Compliance Manager to maintain operational readiness.</w:t>
      </w:r>
    </w:p>
    <w:p>
      <w:r>
        <w:t>Evidence artifacts are retained in Workday for at least 24 months. This document aligns with SOX requirements and supports EU data residency expectations. All changes require peer review and validation in the Payment Processing Service before production promotion.</w:t>
      </w:r>
    </w:p>
    <w:p>
      <w:pPr>
        <w:pStyle w:val="ListBullet"/>
      </w:pPr>
      <w:r>
        <w:t>Systems are monitored via Terraform and alert routing in Workday.</w:t>
      </w:r>
    </w:p>
    <w:p>
      <w:pPr>
        <w:pStyle w:val="ListBullet"/>
      </w:pPr>
      <w:r>
        <w:t>Teams must log requests in Workday and track outcomes in Payment Processing Service for audit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Incident drill</w:t>
            </w:r>
          </w:p>
        </w:tc>
        <w:tc>
          <w:tcPr>
            <w:tcW w:type="dxa" w:w="2880"/>
          </w:tcPr>
          <w:p>
            <w:r>
              <w:t>Customer Support</w:t>
            </w:r>
          </w:p>
        </w:tc>
        <w:tc>
          <w:tcPr>
            <w:tcW w:type="dxa" w:w="2880"/>
          </w:tcPr>
          <w:p>
            <w:r>
              <w:t>In Progress</w:t>
            </w:r>
          </w:p>
        </w:tc>
      </w:tr>
      <w:tr>
        <w:tc>
          <w:tcPr>
            <w:tcW w:type="dxa" w:w="2880"/>
          </w:tcPr>
          <w:p>
            <w:r>
              <w:t>Incident drill</w:t>
            </w:r>
          </w:p>
        </w:tc>
        <w:tc>
          <w:tcPr>
            <w:tcW w:type="dxa" w:w="2880"/>
          </w:tcPr>
          <w:p>
            <w:r>
              <w:t>Customer Support</w:t>
            </w:r>
          </w:p>
        </w:tc>
        <w:tc>
          <w:tcPr>
            <w:tcW w:type="dxa" w:w="2880"/>
          </w:tcPr>
          <w:p>
            <w:r>
              <w:t>Planned</w:t>
            </w:r>
          </w:p>
        </w:tc>
      </w:tr>
      <w:tr>
        <w:tc>
          <w:tcPr>
            <w:tcW w:type="dxa" w:w="2880"/>
          </w:tcPr>
          <w:p>
            <w:r>
              <w:t>Incident drill</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