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Engineering APAC v3.0</w:t>
      </w:r>
    </w:p>
    <w:p>
      <w:r>
        <w:t>Department: Engineering</w:t>
      </w:r>
    </w:p>
    <w:p>
      <w:r>
        <w:t>Author: Jordan Smith</w:t>
      </w:r>
    </w:p>
    <w:p>
      <w:r>
        <w:t>Created date: 2025-01-05</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Systems are monitored via Snowflake and alert routing in Microsoft 365. Audit sampling occurs monthly and is summarized in leadership dashboards.</w:t>
      </w:r>
    </w:p>
    <w:p>
      <w:r>
        <w:t>Escalations should follow the on-call rotation with a response target of 60 minutes. This document aligns with GDPR requirements and supports APAC data residency expectations.</w:t>
      </w:r>
    </w:p>
    <w:p>
      <w:pPr>
        <w:pStyle w:val="ListBullet"/>
      </w:pPr>
      <w:r>
        <w:t>The Engineering organization uses Snowflake to enforce consistent service baselines.</w:t>
      </w:r>
    </w:p>
    <w:p>
      <w:pPr>
        <w:pStyle w:val="ListBullet"/>
      </w:pPr>
      <w:r>
        <w:t>Regional teams in APAC follow the same policy with localized legal review.</w:t>
      </w:r>
    </w:p>
    <w:p>
      <w:pPr>
        <w:pStyle w:val="ListBullet"/>
      </w:pPr>
      <w:r>
        <w:t>Systems are monitored via Snowflake and alert routing in Microsoft 365.</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Regional teams in APAC follow the same policy with localized legal review.</w:t>
      </w:r>
    </w:p>
    <w:p>
      <w:pPr>
        <w:pStyle w:val="Heading1"/>
      </w:pPr>
      <w:r>
        <w:t>Change Management</w:t>
      </w:r>
    </w:p>
    <w:p>
      <w:r>
        <w:t>The process integrates with CRM Platform and depends on Snowflake for telemetry signals. Risk acceptance must be documented and revalidated each quarter.</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The process integrates with CRM Platform and depends on Snowflake for telemetry signals.</w:t>
      </w:r>
    </w:p>
    <w:p>
      <w:pPr>
        <w:pStyle w:val="ListBullet"/>
      </w:pPr>
      <w:r>
        <w:t>Risk acceptance must be documented and revalidated each quarter.</w:t>
      </w:r>
    </w:p>
    <w:p>
      <w:pPr>
        <w:pStyle w:val="ListBullet"/>
      </w:pPr>
      <w:r>
        <w:t>Regional teams in APAC follow the same policy with localized legal review.</w:t>
      </w:r>
    </w:p>
    <w:p>
      <w:pPr>
        <w:pStyle w:val="Heading1"/>
      </w:pPr>
      <w:r>
        <w:t>Release Workflow</w:t>
      </w:r>
    </w:p>
    <w:p>
      <w:r>
        <w:t>This document aligns with GDPR requirements and supports APAC data residency expectations. The process integrates with CRM Platform and depends on Snowflake for telemetry signals.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All changes require peer review and validation in the CRM Platform before production promotion.</w:t>
      </w:r>
    </w:p>
    <w:p>
      <w:pPr>
        <w:pStyle w:val="ListBullet"/>
      </w:pPr>
      <w:r>
        <w:t>All changes require peer review and validation in the CRM Platform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 Analyst</w:t>
            </w:r>
          </w:p>
        </w:tc>
        <w:tc>
          <w:tcPr>
            <w:tcW w:type="dxa" w:w="2880"/>
          </w:tcPr>
          <w:p>
            <w:r>
              <w:t>Blocked</w:t>
            </w:r>
          </w:p>
        </w:tc>
      </w:tr>
      <w:tr>
        <w:tc>
          <w:tcPr>
            <w:tcW w:type="dxa" w:w="2880"/>
          </w:tcPr>
          <w:p>
            <w:r>
              <w:t>Patch window</w:t>
            </w:r>
          </w:p>
        </w:tc>
        <w:tc>
          <w:tcPr>
            <w:tcW w:type="dxa" w:w="2880"/>
          </w:tcPr>
          <w:p>
            <w:r>
              <w:t>Operations</w:t>
            </w:r>
          </w:p>
        </w:tc>
        <w:tc>
          <w:tcPr>
            <w:tcW w:type="dxa" w:w="2880"/>
          </w:tcPr>
          <w:p>
            <w:r>
              <w:t>Blocked</w:t>
            </w:r>
          </w:p>
        </w:tc>
      </w:tr>
      <w:tr>
        <w:tc>
          <w:tcPr>
            <w:tcW w:type="dxa" w:w="2880"/>
          </w:tcPr>
          <w:p>
            <w:r>
              <w:t>Incident drill</w:t>
            </w:r>
          </w:p>
        </w:tc>
        <w:tc>
          <w:tcPr>
            <w:tcW w:type="dxa" w:w="2880"/>
          </w:tcPr>
          <w:p>
            <w:r>
              <w:t>Engineering</w:t>
            </w:r>
          </w:p>
        </w:tc>
        <w:tc>
          <w:tcPr>
            <w:tcW w:type="dxa" w:w="2880"/>
          </w:tcPr>
          <w:p>
            <w:r>
              <w:t>Planned</w:t>
            </w:r>
          </w:p>
        </w:tc>
      </w:tr>
      <w:tr>
        <w:tc>
          <w:tcPr>
            <w:tcW w:type="dxa" w:w="2880"/>
          </w:tcPr>
          <w:p>
            <w:r>
              <w:t>Backup validation</w:t>
            </w:r>
          </w:p>
        </w:tc>
        <w:tc>
          <w:tcPr>
            <w:tcW w:type="dxa" w:w="2880"/>
          </w:tcPr>
          <w:p>
            <w:r>
              <w:t>Security</w:t>
            </w:r>
          </w:p>
        </w:tc>
        <w:tc>
          <w:tcPr>
            <w:tcW w:type="dxa" w:w="2880"/>
          </w:tcPr>
          <w:p>
            <w:r>
              <w:t>Planned</w:t>
            </w:r>
          </w:p>
        </w:tc>
      </w:tr>
    </w:tbl>
    <w:p>
      <w:pPr>
        <w:pStyle w:val="Heading1"/>
      </w:pPr>
      <w:r>
        <w:t>Monitoring and Alerts</w:t>
      </w:r>
    </w:p>
    <w:p>
      <w:r>
        <w:t>Risk acceptance must be documented and revalidated each quarter. All changes require peer review and validation in the CRM Platform before production promotion. Evidence artifacts are retained in Microsoft 365 for at least 24 months. Risk acceptance must be documented and revalidated each quarter.</w:t>
      </w:r>
    </w:p>
    <w:p>
      <w:r>
        <w:t>Teams must log requests in Microsoft 365 and track outcomes in CRM Platform for audit readiness. The process integrates with CRM Platform and depends on Snowflake for telemetry signals. All incidents are tagged with severity and mapped to service tiers.</w:t>
      </w:r>
    </w:p>
    <w:p>
      <w:pPr>
        <w:pStyle w:val="ListBullet"/>
      </w:pPr>
      <w:r>
        <w:t>Audit sampling occurs monthly and is summarized in leadership dashboards.</w:t>
      </w:r>
    </w:p>
    <w:p>
      <w:pPr>
        <w:pStyle w:val="ListBullet"/>
      </w:pPr>
      <w:r>
        <w:t>Stakeholders include the Security Analyst, service owner, and compliance lead for approvals.</w:t>
      </w:r>
    </w:p>
    <w:p>
      <w:pPr>
        <w:pStyle w:val="ListBullet"/>
      </w:pPr>
      <w:r>
        <w:t>Systems are monitored via Snowflake and alert routing in Microsoft 365.</w:t>
      </w:r>
    </w:p>
    <w:p>
      <w:pPr>
        <w:pStyle w:val="ListBullet"/>
      </w:pPr>
      <w:r>
        <w:t>The process integrates with CRM Platform and depends on Snowflake for telemetry signals.</w:t>
      </w:r>
    </w:p>
    <w:p>
      <w:pPr>
        <w:pStyle w:val="ListBullet"/>
      </w:pPr>
      <w:r>
        <w:t>Stakeholders include the Security Analyst, service owner, and compliance lead for approvals.</w:t>
      </w:r>
    </w:p>
    <w:p>
      <w:pPr>
        <w:pStyle w:val="Heading1"/>
      </w:pPr>
      <w:r>
        <w:t>Post-Release Review</w:t>
      </w:r>
    </w:p>
    <w:p>
      <w:r>
        <w:t>Escalations should follow the on-call rotation with a response target of 60 minutes. All incidents are tagged with severity and mapped to service tiers. Stakeholders include the Security Analyst, service owner, and compliance lead for approvals.</w:t>
      </w:r>
    </w:p>
    <w:p>
      <w:r>
        <w:t>The process integrates with CRM Platform and depends on Snowflake for telemetry signals. Audit sampling occurs monthly and is summarized in leadership dashboards. Stakeholders include the Security Analyst, service owner, and compliance lead for approvals. The Engineering organization uses Snowflake to enforce consistent service baselines.</w:t>
      </w:r>
    </w:p>
    <w:p>
      <w:pPr>
        <w:pStyle w:val="ListBullet"/>
      </w:pPr>
      <w:r>
        <w:t>The Engineering team coordinates with Security Analyst to maintain operational readiness.</w:t>
      </w:r>
    </w:p>
    <w:p>
      <w:pPr>
        <w:pStyle w:val="ListBullet"/>
      </w:pPr>
      <w:r>
        <w:t>All changes require peer review and validation in the CRM Platform before production promotion.</w:t>
      </w:r>
    </w:p>
    <w:p>
      <w:pPr>
        <w:pStyle w:val="ListBullet"/>
      </w:pPr>
      <w:r>
        <w:t>All changes require peer review and validation in the CRM Platform before production promotion.</w:t>
      </w:r>
    </w:p>
    <w:p>
      <w:pPr>
        <w:pStyle w:val="ListBullet"/>
      </w:pPr>
      <w:r>
        <w:t>Teams must log requests in Microsoft 365 and track outcomes in CRM Platform for audit readiness.</w:t>
      </w:r>
    </w:p>
    <w:p>
      <w:pPr>
        <w:pStyle w:val="ListBullet"/>
      </w:pPr>
      <w:r>
        <w:t>Escalations should follow the on-call rotation with a response target of 60 minutes.</w:t>
      </w:r>
    </w:p>
    <w:p>
      <w:pPr>
        <w:pStyle w:val="ListBullet"/>
      </w:pPr>
      <w:r>
        <w:t>This document aligns with GDPR requirements and supports APAC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