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Finance APAC v3.0</w:t>
      </w:r>
    </w:p>
    <w:p>
      <w:r>
        <w:t>Department: Finance</w:t>
      </w:r>
    </w:p>
    <w:p>
      <w:r>
        <w:t>Author: Alex Smith</w:t>
      </w:r>
    </w:p>
    <w:p>
      <w:r>
        <w:t>Created date: 2024-06-12</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Evidence artifacts are retained in Microsoft 365 for at least 36 months. Systems are monitored via Kafka and alert routing in Microsoft 365.</w:t>
      </w:r>
    </w:p>
    <w:p>
      <w:r>
        <w:t>Audit sampling occurs monthly and is summarized in leadership dashboards. The Finance team coordinates with Finance Analyst to maintain operational readiness. The process integrates with Log Aggregation Cluster and depends on Kafka for telemetry signals.</w:t>
      </w:r>
    </w:p>
    <w:p>
      <w:pPr>
        <w:pStyle w:val="ListBullet"/>
      </w:pPr>
      <w:r>
        <w:t>The Finance team coordinates with Finance Analyst to maintain operational readiness.</w:t>
      </w:r>
    </w:p>
    <w:p>
      <w:pPr>
        <w:pStyle w:val="ListBullet"/>
      </w:pPr>
      <w:r>
        <w:t>We prioritize customer impact, data integrity, and regulatory alignment.</w:t>
      </w:r>
    </w:p>
    <w:p>
      <w:pPr>
        <w:pStyle w:val="ListBullet"/>
      </w:pPr>
      <w:r>
        <w:t>The process integrates with Log Aggregation Cluster and depends on Kafka for telemetry signals.</w:t>
      </w:r>
    </w:p>
    <w:p>
      <w:pPr>
        <w:pStyle w:val="ListBullet"/>
      </w:pPr>
      <w:r>
        <w:t>Risk acceptance must be documented and revalidated each quarter.</w:t>
      </w:r>
    </w:p>
    <w:p>
      <w:pPr>
        <w:pStyle w:val="ListBullet"/>
      </w:pPr>
      <w:r>
        <w:t>Stakeholders include the Finance Analyst, service owner, and compliance lead for approvals.</w:t>
      </w:r>
    </w:p>
    <w:p>
      <w:pPr>
        <w:pStyle w:val="ListBullet"/>
      </w:pPr>
      <w:r>
        <w:t>Risk acceptance must be documented and revalidated each quarter.</w:t>
      </w:r>
    </w:p>
    <w:p>
      <w:pPr>
        <w:pStyle w:val="Heading1"/>
      </w:pPr>
      <w:r>
        <w:t>Change Management</w:t>
      </w:r>
    </w:p>
    <w:p>
      <w:r>
        <w:t>All incidents are tagged with severity and mapped to service tiers. We prioritize customer impact, data integrity, and regulatory alignment. Escalations should follow the on-call rotation with a response target of 15 minutes. Escalations should follow the on-call rotation with a response target of 15 minutes.</w:t>
      </w:r>
    </w:p>
    <w:p>
      <w:r>
        <w:t>The process integrates with Log Aggregation Cluster and depends on Kafka for telemetry signals. The process integrates with Log Aggregation Cluster and depends on Kafka for telemetry signals. All incidents are tagged with severity and mapped to service tiers.</w:t>
      </w:r>
    </w:p>
    <w:p>
      <w:pPr>
        <w:pStyle w:val="ListBullet"/>
      </w:pPr>
      <w:r>
        <w:t>Evidence artifacts are retained in Microsoft 365 for at least 36 months.</w:t>
      </w:r>
    </w:p>
    <w:p>
      <w:pPr>
        <w:pStyle w:val="ListBullet"/>
      </w:pPr>
      <w:r>
        <w:t>Risk acceptance must be documented and revalidated each quarter.</w:t>
      </w:r>
    </w:p>
    <w:p>
      <w:pPr>
        <w:pStyle w:val="ListBullet"/>
      </w:pPr>
      <w:r>
        <w:t>The Finance team coordinates with Finance Analyst to maintain operational readiness.</w:t>
      </w:r>
    </w:p>
    <w:p>
      <w:pPr>
        <w:pStyle w:val="ListBullet"/>
      </w:pPr>
      <w:r>
        <w:t>All incidents are tagged with severity and mapped to service tiers.</w:t>
      </w:r>
    </w:p>
    <w:p>
      <w:pPr>
        <w:pStyle w:val="ListBullet"/>
      </w:pPr>
      <w:r>
        <w:t>The process integrates with Log Aggregation Cluster and depends on Kafka for telemetry signals.</w:t>
      </w:r>
    </w:p>
    <w:p>
      <w:pPr>
        <w:pStyle w:val="Heading1"/>
      </w:pPr>
      <w:r>
        <w:t>Release Workflow</w:t>
      </w:r>
    </w:p>
    <w:p>
      <w:r>
        <w:t>The process integrates with Log Aggregation Cluster and depends on Kafka for telemetry signals. The process integrates with Log Aggregation Cluster and depends on Kafka for telemetry signals. Stakeholders include the Finance Analyst, service owner, and compliance lead for approvals.</w:t>
      </w:r>
    </w:p>
    <w:p>
      <w:pPr>
        <w:pStyle w:val="ListBullet"/>
      </w:pPr>
      <w:r>
        <w:t>All changes require peer review and validation in the Log Aggregation Cluster before production promotion.</w:t>
      </w:r>
    </w:p>
    <w:p>
      <w:pPr>
        <w:pStyle w:val="ListBullet"/>
      </w:pPr>
      <w:r>
        <w:t>Stakeholders include the Finance Analyst, service owner, and compliance lead for approvals.</w:t>
      </w:r>
    </w:p>
    <w:p>
      <w:pPr>
        <w:pStyle w:val="ListBullet"/>
      </w:pPr>
      <w:r>
        <w:t>The Finance team coordinates with Finance Analyst to maintain operational readiness.</w:t>
      </w:r>
    </w:p>
    <w:p>
      <w:pPr>
        <w:pStyle w:val="ListBullet"/>
      </w:pPr>
      <w:r>
        <w:t>Escalations should follow the on-call rotation with a response target of 15 minutes.</w:t>
      </w:r>
    </w:p>
    <w:p>
      <w:pPr>
        <w:pStyle w:val="ListBullet"/>
      </w:pPr>
      <w:r>
        <w:t>This document aligns with GDPR requirements and supports APAC data residency expectations.</w:t>
      </w:r>
    </w:p>
    <w:p>
      <w:pPr>
        <w:pStyle w:val="ListBullet"/>
      </w:pPr>
      <w:r>
        <w:t>Teams must log requests in Microsoft 365 and track outcomes in Log Aggregation Cluster for audit readiness.</w:t>
      </w:r>
    </w:p>
    <w:p>
      <w:pPr>
        <w:pStyle w:val="Heading1"/>
      </w:pPr>
      <w:r>
        <w:t>Monitoring and Alerts</w:t>
      </w:r>
    </w:p>
    <w:p>
      <w:r>
        <w:t>This document aligns with GDPR requirements and supports APAC data residency expectations. Regional teams in APAC follow the same policy with localized legal review. The Finance organization uses Kafka to enforce consistent service baselines.</w:t>
      </w:r>
    </w:p>
    <w:p>
      <w:r>
        <w:t>The Finance organization uses Kafka to enforce consistent service baselines. We prioritize customer impact, data integrity, and regulatory alignment. Escalations should follow the on-call rotation with a response target of 15 minutes.</w:t>
      </w:r>
    </w:p>
    <w:p>
      <w:pPr>
        <w:pStyle w:val="ListBullet"/>
      </w:pPr>
      <w:r>
        <w:t>Evidence artifacts are retained in Microsoft 365 for at least 36 months.</w:t>
      </w:r>
    </w:p>
    <w:p>
      <w:pPr>
        <w:pStyle w:val="ListBullet"/>
      </w:pPr>
      <w:r>
        <w:t>This document aligns with GDPR requirements and supports APAC data residency expectations.</w:t>
      </w:r>
    </w:p>
    <w:p>
      <w:pPr>
        <w:pStyle w:val="ListBullet"/>
      </w:pPr>
      <w:r>
        <w:t>All changes require peer review and validation in the Log Aggregation Cluster before production promotion.</w:t>
      </w:r>
    </w:p>
    <w:p>
      <w:pPr>
        <w:pStyle w:val="ListBullet"/>
      </w:pPr>
      <w:r>
        <w:t>All incidents are tagged with severity and mapped to service tiers.</w:t>
      </w:r>
    </w:p>
    <w:p>
      <w:pPr>
        <w:pStyle w:val="ListBullet"/>
      </w:pPr>
      <w:r>
        <w:t>The Finance team coordinates with Finance Analyst to maintain operational readiness.</w:t>
      </w:r>
    </w:p>
    <w:p>
      <w:pPr>
        <w:pStyle w:val="Heading1"/>
      </w:pPr>
      <w:r>
        <w:t>Post-Release Review</w:t>
      </w:r>
    </w:p>
    <w:p>
      <w:r>
        <w:t>Audit sampling occurs monthly and is summarized in leadership dashboards. Systems are monitored via Kafka and alert routing in Microsoft 365. We prioritize customer impact, data integrity, and regulatory alignment.</w:t>
      </w:r>
    </w:p>
    <w:p>
      <w:r>
        <w:t>Regional teams in APAC follow the same policy with localized legal review. Audit sampling occurs monthly and is summarized in leadership dashboards. Systems are monitored via Kafka and alert routing in Microsoft 365.</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The Finance team coordinates with Finance Analyst to maintain operational readiness.</w:t>
      </w:r>
    </w:p>
    <w:p>
      <w:pPr>
        <w:pStyle w:val="ListBullet"/>
      </w:pPr>
      <w:r>
        <w:t>Teams must log requests in Microsoft 365 and track outcomes in Log Aggregation Cluster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 Analyst</w:t>
            </w:r>
          </w:p>
        </w:tc>
        <w:tc>
          <w:tcPr>
            <w:tcW w:type="dxa" w:w="2880"/>
          </w:tcPr>
          <w:p>
            <w:r>
              <w:t>Blocked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Vendor check</w:t>
            </w:r>
          </w:p>
        </w:tc>
        <w:tc>
          <w:tcPr>
            <w:tcW w:type="dxa" w:w="2880"/>
          </w:tcPr>
          <w:p>
            <w:r>
              <w:t>Operations</w:t>
            </w:r>
          </w:p>
        </w:tc>
        <w:tc>
          <w:tcPr>
            <w:tcW w:type="dxa" w:w="2880"/>
          </w:tcPr>
          <w:p>
            <w:r>
              <w:t>Complete</w:t>
            </w:r>
          </w:p>
        </w:tc>
      </w:tr>
      <w:tr>
        <w:tc>
          <w:tcPr>
            <w:tcW w:type="dxa" w:w="2880"/>
          </w:tcPr>
          <w:p>
            <w:r>
              <w:t>Vendor check</w:t>
            </w:r>
          </w:p>
        </w:tc>
        <w:tc>
          <w:tcPr>
            <w:tcW w:type="dxa" w:w="2880"/>
          </w:tcPr>
          <w:p>
            <w:r>
              <w:t>Finance Analyst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