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Finance APAC v1.1</w:t>
      </w:r>
    </w:p>
    <w:p>
      <w:r>
        <w:t>Department: Finance</w:t>
      </w:r>
    </w:p>
    <w:p>
      <w:r>
        <w:t>Author: Avery Garcia</w:t>
      </w:r>
    </w:p>
    <w:p>
      <w:r>
        <w:t>Created date: 2025-09-17</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Stakeholders include the Compliance Manager, service owner, and compliance lead for approvals. Evidence artifacts are retained in Workday for at least 18 months. The process integrates with Monitoring Stack and depends on Terraform for telemetry signals. Risk acceptance must be documented and revalidated each quarter.</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Systems are monitored via Terraform and alert routing in Workday.</w:t>
      </w:r>
    </w:p>
    <w:p>
      <w:pPr>
        <w:pStyle w:val="Heading1"/>
      </w:pPr>
      <w:r>
        <w:t>Change Management</w:t>
      </w:r>
    </w:p>
    <w:p>
      <w:r>
        <w:t>Audit sampling occurs monthly and is summarized in leadership dashboards. We prioritize customer impact, data integrity, and regulatory alignment. Stakeholders include the Compliance Manager, service owner, and compliance lead for approvals.</w:t>
      </w:r>
    </w:p>
    <w:p>
      <w:pPr>
        <w:pStyle w:val="ListBullet"/>
      </w:pPr>
      <w:r>
        <w:t>Systems are monitored via Terraform and alert routing in Workday.</w:t>
      </w:r>
    </w:p>
    <w:p>
      <w:pPr>
        <w:pStyle w:val="ListBullet"/>
      </w:pPr>
      <w:r>
        <w:t>Evidence artifacts are retained in Workday for at least 18 months.</w:t>
      </w:r>
    </w:p>
    <w:p>
      <w:pPr>
        <w:pStyle w:val="ListBullet"/>
      </w:pPr>
      <w:r>
        <w:t>Stakeholders include the Compliance Manager, service owner, and compliance lead for approvals.</w:t>
      </w:r>
    </w:p>
    <w:p>
      <w:pPr>
        <w:pStyle w:val="Heading1"/>
      </w:pPr>
      <w:r>
        <w:t>Release Workflow</w:t>
      </w:r>
    </w:p>
    <w:p>
      <w:r>
        <w:t>Teams must log requests in Workday and track outcomes in Monitoring Stack for audit readiness. Teams must log requests in Workday and track outcomes in Monitoring Stack for audit readiness. The process integrates with Monitoring Stack and depends on Terraform for telemetry signals.</w:t>
      </w:r>
    </w:p>
    <w:p>
      <w:r>
        <w:t>Audit sampling occurs monthly and is summarized in leadership dashboards. All changes require peer review and validation in the Monitoring Stack before production promotion. Teams must log requests in Workday and track outcomes in Monitoring Stack for audit readiness.</w:t>
      </w:r>
    </w:p>
    <w:p>
      <w:pPr>
        <w:pStyle w:val="ListBullet"/>
      </w:pPr>
      <w:r>
        <w:t>All changes require peer review and validation in the Monitoring Stack before production promotion.</w:t>
      </w:r>
    </w:p>
    <w:p>
      <w:pPr>
        <w:pStyle w:val="ListBullet"/>
      </w:pPr>
      <w:r>
        <w:t>Escalations should follow the on-call rotation with a response target of 60 minutes.</w:t>
      </w:r>
    </w:p>
    <w:p>
      <w:pPr>
        <w:pStyle w:val="ListBullet"/>
      </w:pPr>
      <w:r>
        <w:t>All changes require peer review and validation in the Monitoring Stack before production promotion.</w:t>
      </w:r>
    </w:p>
    <w:p>
      <w:pPr>
        <w:pStyle w:val="Heading1"/>
      </w:pPr>
      <w:r>
        <w:t>Monitoring and Alerts</w:t>
      </w:r>
    </w:p>
    <w:p>
      <w:r>
        <w:t>All incidents are tagged with severity and mapped to service tiers. The Finance organization uses Terraform to enforce consistent service baselines. All incidents are tagged with severity and mapped to service tiers.</w:t>
      </w:r>
    </w:p>
    <w:p>
      <w:r>
        <w:t>We prioritize customer impact, data integrity, and regulatory alignment. Regional teams in APAC follow the same policy with localized legal review.</w:t>
      </w:r>
    </w:p>
    <w:p>
      <w:pPr>
        <w:pStyle w:val="ListBullet"/>
      </w:pPr>
      <w:r>
        <w:t>Audit sampling occurs monthly and is summarized in leadership dashboards.</w:t>
      </w:r>
    </w:p>
    <w:p>
      <w:pPr>
        <w:pStyle w:val="ListBullet"/>
      </w:pPr>
      <w:r>
        <w:t>The Finance organization uses Terraform to enforce consistent service baselines.</w:t>
      </w:r>
    </w:p>
    <w:p>
      <w:pPr>
        <w:pStyle w:val="ListBullet"/>
      </w:pPr>
      <w:r>
        <w:t>This document aligns with SOC 2 requirements and supports APAC data residency expectations.</w:t>
      </w:r>
    </w:p>
    <w:p>
      <w:pPr>
        <w:pStyle w:val="ListBullet"/>
      </w:pPr>
      <w:r>
        <w:t>Regional teams in APAC follow the same policy with localized legal review.</w:t>
      </w:r>
    </w:p>
    <w:p>
      <w:pPr>
        <w:pStyle w:val="ListBullet"/>
      </w:pPr>
      <w:r>
        <w:t>Regional teams in APAC follow the same policy with localized legal review.</w:t>
      </w:r>
    </w:p>
    <w:p>
      <w:pPr>
        <w:pStyle w:val="ListBullet"/>
      </w:pPr>
      <w:r>
        <w:t>Systems are monitored via Terraform and alert routing in Workday.</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w:t>
            </w:r>
          </w:p>
        </w:tc>
        <w:tc>
          <w:tcPr>
            <w:tcW w:type="dxa" w:w="2880"/>
          </w:tcPr>
          <w:p>
            <w:r>
              <w:t>In Progress</w:t>
            </w:r>
          </w:p>
        </w:tc>
      </w:tr>
      <w:tr>
        <w:tc>
          <w:tcPr>
            <w:tcW w:type="dxa" w:w="2880"/>
          </w:tcPr>
          <w:p>
            <w:r>
              <w:t>Vendor check</w:t>
            </w:r>
          </w:p>
        </w:tc>
        <w:tc>
          <w:tcPr>
            <w:tcW w:type="dxa" w:w="2880"/>
          </w:tcPr>
          <w:p>
            <w:r>
              <w:t>Finance</w:t>
            </w:r>
          </w:p>
        </w:tc>
        <w:tc>
          <w:tcPr>
            <w:tcW w:type="dxa" w:w="2880"/>
          </w:tcPr>
          <w:p>
            <w:r>
              <w:t>Blocked</w:t>
            </w:r>
          </w:p>
        </w:tc>
      </w:tr>
    </w:tbl>
    <w:p>
      <w:pPr>
        <w:pStyle w:val="Heading1"/>
      </w:pPr>
      <w:r>
        <w:t>Post-Release Review</w:t>
      </w:r>
    </w:p>
    <w:p>
      <w:r>
        <w:t>All changes require peer review and validation in the Monitoring Stack before production promotion. This document aligns with SOC 2 requirements and supports APAC data residency expectations. We prioritize customer impact, data integrity, and regulatory alignment. Evidence artifacts are retained in Workday for at least 18 months.</w:t>
      </w:r>
    </w:p>
    <w:p>
      <w:pPr>
        <w:pStyle w:val="ListBullet"/>
      </w:pPr>
      <w:r>
        <w:t>All incidents are tagged with severity and mapped to service tiers.</w:t>
      </w:r>
    </w:p>
    <w:p>
      <w:pPr>
        <w:pStyle w:val="ListBullet"/>
      </w:pPr>
      <w:r>
        <w:t>The Finance team coordinates with Compliance Manager to maintain operational readiness.</w:t>
      </w:r>
    </w:p>
    <w:p>
      <w:pPr>
        <w:pStyle w:val="ListBullet"/>
      </w:pPr>
      <w:r>
        <w:t>This document aligns with SOC 2 requirements and supports APAC data residency expectations.</w:t>
      </w:r>
    </w:p>
    <w:p>
      <w:pPr>
        <w:pStyle w:val="ListBullet"/>
      </w:pPr>
      <w:r>
        <w:t>The process integrates with Monitoring Stack and depends on Terraform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