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Finance EU v3.0</w:t>
      </w:r>
    </w:p>
    <w:p>
      <w:r>
        <w:t>Department: Finance</w:t>
      </w:r>
    </w:p>
    <w:p>
      <w:r>
        <w:t>Author: Taylor Kim</w:t>
      </w:r>
    </w:p>
    <w:p>
      <w:r>
        <w:t>Created date: 2024-01-31</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The Finance team coordinates with Platform Engineer to maintain operational readiness. Escalations should follow the on-call rotation with a response target of 45 minutes.</w:t>
      </w:r>
    </w:p>
    <w:p>
      <w:pPr>
        <w:pStyle w:val="ListBullet"/>
      </w:pPr>
      <w:r>
        <w:t>Teams must log requests in Zoom and track outcomes in Identity Access Gateway for audit readiness.</w:t>
      </w:r>
    </w:p>
    <w:p>
      <w:pPr>
        <w:pStyle w:val="ListBullet"/>
      </w:pPr>
      <w:r>
        <w:t>Escalations should follow the on-call rotation with a response target of 45 minutes.</w:t>
      </w:r>
    </w:p>
    <w:p>
      <w:pPr>
        <w:pStyle w:val="ListBullet"/>
      </w:pPr>
      <w:r>
        <w:t>Teams must log requests in Zoom and track outcomes in Identity Access Gateway for audit readiness.</w:t>
      </w:r>
    </w:p>
    <w:p>
      <w:pPr>
        <w:pStyle w:val="Heading1"/>
      </w:pPr>
      <w:r>
        <w:t>Change Management</w:t>
      </w:r>
    </w:p>
    <w:p>
      <w:r>
        <w:t>This document aligns with GDPR requirements and supports EU data residency expectations. Stakeholders include the Platform Engineer, service owner, and compliance lead for approvals. Evidence artifacts are retained in Zoom for at least 18 months. This document aligns with GDPR requirements and supports EU data residency expectations.</w:t>
      </w:r>
    </w:p>
    <w:p>
      <w:r>
        <w:t>Teams must log requests in Zoom and track outcomes in Identity Access Gateway for audit readiness. Risk acceptance must be documented and revalidated each quarter. Audit sampling occurs monthly and is summarized in leadership dashboards. All incidents are tagged with severity and mapped to service tiers.</w:t>
      </w:r>
    </w:p>
    <w:p>
      <w:pPr>
        <w:pStyle w:val="ListBullet"/>
      </w:pPr>
      <w:r>
        <w:t>Systems are monitored via Azure and alert routing in Zoom.</w:t>
      </w:r>
    </w:p>
    <w:p>
      <w:pPr>
        <w:pStyle w:val="ListBullet"/>
      </w:pPr>
      <w:r>
        <w:t>We prioritize customer impact, data integrity, and regulatory alignment.</w:t>
      </w:r>
    </w:p>
    <w:p>
      <w:pPr>
        <w:pStyle w:val="ListBullet"/>
      </w:pPr>
      <w:r>
        <w:t>Risk acceptance must be documented and revalidated each quarter.</w:t>
      </w:r>
    </w:p>
    <w:p>
      <w:pPr>
        <w:pStyle w:val="Heading1"/>
      </w:pPr>
      <w:r>
        <w:t>Release Workflow</w:t>
      </w:r>
    </w:p>
    <w:p>
      <w:r>
        <w:t>Teams must log requests in Zoom and track outcomes in Identity Access Gateway for audit readiness. All changes require peer review and validation in the Identity Access Gateway before production promotion. All changes require peer review and validation in the Identity Access Gateway before production promotion. The Finance organization uses Azure to enforce consistent service baselines.</w:t>
      </w:r>
    </w:p>
    <w:p>
      <w:r>
        <w:t>Regional teams in EU follow the same policy with localized legal review. All changes require peer review and validation in the Identity Access Gateway before production promotion. Audit sampling occurs monthly and is summarized in leadership dashboards.</w:t>
      </w:r>
    </w:p>
    <w:p>
      <w:pPr>
        <w:pStyle w:val="ListBullet"/>
      </w:pPr>
      <w:r>
        <w:t>Stakeholders include the Platform Engineer, service owner, and compliance lead for approvals.</w:t>
      </w:r>
    </w:p>
    <w:p>
      <w:pPr>
        <w:pStyle w:val="ListBullet"/>
      </w:pPr>
      <w:r>
        <w:t>Evidence artifacts are retained in Zoom for at least 18 months.</w:t>
      </w:r>
    </w:p>
    <w:p>
      <w:pPr>
        <w:pStyle w:val="ListBullet"/>
      </w:pPr>
      <w:r>
        <w:t>Escalations should follow the on-call rotation with a response target of 45 minutes.</w:t>
      </w:r>
    </w:p>
    <w:p>
      <w:pPr>
        <w:pStyle w:val="ListBullet"/>
      </w:pPr>
      <w:r>
        <w:t>Evidence artifacts are retained in Zoom for at least 18 months.</w:t>
      </w:r>
    </w:p>
    <w:p>
      <w:pPr>
        <w:pStyle w:val="ListBullet"/>
      </w:pPr>
      <w:r>
        <w:t>Stakeholders include the Platform Engineer, service owner, and compliance lead for approvals.</w:t>
      </w:r>
    </w:p>
    <w:p>
      <w:pPr>
        <w:pStyle w:val="Heading1"/>
      </w:pPr>
      <w:r>
        <w:t>Monitoring and Alerts</w:t>
      </w:r>
    </w:p>
    <w:p>
      <w:r>
        <w:t>Risk acceptance must be documented and revalidated each quarter. Systems are monitored via Azure and alert routing in Zoom. Stakeholders include the Platform Engineer, service owner, and compliance lead for approvals.</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The process integrates with Identity Access Gateway and depends on Azure for telemetry signals.</w:t>
      </w:r>
    </w:p>
    <w:p>
      <w:pPr>
        <w:pStyle w:val="ListBullet"/>
      </w:pPr>
      <w:r>
        <w:t>All changes require peer review and validation in the Identity Access Gateway before production promotion.</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Platform Engineer</w:t>
            </w:r>
          </w:p>
        </w:tc>
        <w:tc>
          <w:tcPr>
            <w:tcW w:type="dxa" w:w="2880"/>
          </w:tcPr>
          <w:p>
            <w:r>
              <w:t>Blocked</w:t>
            </w:r>
          </w:p>
        </w:tc>
      </w:tr>
      <w:tr>
        <w:tc>
          <w:tcPr>
            <w:tcW w:type="dxa" w:w="2880"/>
          </w:tcPr>
          <w:p>
            <w:r>
              <w:t>Incident drill</w:t>
            </w:r>
          </w:p>
        </w:tc>
        <w:tc>
          <w:tcPr>
            <w:tcW w:type="dxa" w:w="2880"/>
          </w:tcPr>
          <w:p>
            <w:r>
              <w:t>Finance</w:t>
            </w:r>
          </w:p>
        </w:tc>
        <w:tc>
          <w:tcPr>
            <w:tcW w:type="dxa" w:w="2880"/>
          </w:tcPr>
          <w:p>
            <w:r>
              <w:t>Blocked</w:t>
            </w:r>
          </w:p>
        </w:tc>
      </w:tr>
      <w:tr>
        <w:tc>
          <w:tcPr>
            <w:tcW w:type="dxa" w:w="2880"/>
          </w:tcPr>
          <w:p>
            <w:r>
              <w:t>Backup validation</w:t>
            </w:r>
          </w:p>
        </w:tc>
        <w:tc>
          <w:tcPr>
            <w:tcW w:type="dxa" w:w="2880"/>
          </w:tcPr>
          <w:p>
            <w:r>
              <w:t>Operations</w:t>
            </w:r>
          </w:p>
        </w:tc>
        <w:tc>
          <w:tcPr>
            <w:tcW w:type="dxa" w:w="2880"/>
          </w:tcPr>
          <w:p>
            <w:r>
              <w:t>Planned</w:t>
            </w:r>
          </w:p>
        </w:tc>
      </w:tr>
    </w:tbl>
    <w:p>
      <w:pPr>
        <w:pStyle w:val="Heading1"/>
      </w:pPr>
      <w:r>
        <w:t>Post-Release Review</w:t>
      </w:r>
    </w:p>
    <w:p>
      <w:r>
        <w:t>This document aligns with GDPR requirements and supports EU data residency expectations. The process integrates with Identity Access Gateway and depends on Azure for telemetry signals.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Teams must log requests in Zoom and track outcomes in Identity Access Gateway for audit readiness.</w:t>
      </w:r>
    </w:p>
    <w:p>
      <w:pPr>
        <w:pStyle w:val="ListBullet"/>
      </w:pPr>
      <w:r>
        <w:t>Risk acceptance must be documented and revalidated each quarter.</w:t>
      </w:r>
    </w:p>
    <w:p>
      <w:pPr>
        <w:pStyle w:val="ListBullet"/>
      </w:pPr>
      <w:r>
        <w:t>Stakeholders include the Platform Engineer,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