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Information Technology EU v1.1</w:t>
      </w:r>
    </w:p>
    <w:p>
      <w:r>
        <w:t>Department: Information Technology</w:t>
      </w:r>
    </w:p>
    <w:p>
      <w:r>
        <w:t>Author: Avery Garcia</w:t>
      </w:r>
    </w:p>
    <w:p>
      <w:r>
        <w:t>Created date: 2024-07-03</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The Information Technology organization uses ServiceNow to enforce consistent service baselines. Evidence artifacts are retained in Confluence for at least 24 months. This document aligns with SOX requirements and supports EU data residency expectations. Escalations should follow the on-call rotation with a response target of 60 minutes.</w:t>
      </w:r>
    </w:p>
    <w:p>
      <w:r>
        <w:t>All incidents are tagged with severity and mapped to service tiers. Teams must log requests in Confluence and track outcomes in ERP System for audit readiness.</w:t>
      </w:r>
    </w:p>
    <w:p>
      <w:pPr>
        <w:pStyle w:val="ListBullet"/>
      </w:pPr>
      <w:r>
        <w:t>Regional teams in EU follow the same policy with localized legal review.</w:t>
      </w:r>
    </w:p>
    <w:p>
      <w:pPr>
        <w:pStyle w:val="ListBullet"/>
      </w:pPr>
      <w:r>
        <w:t>Teams must log requests in Confluence and track outcomes in ERP System for audit readiness.</w:t>
      </w:r>
    </w:p>
    <w:p>
      <w:pPr>
        <w:pStyle w:val="ListBullet"/>
      </w:pPr>
      <w:r>
        <w:t>Teams must log requests in Confluence and track outcomes in ERP System for audit readiness.</w:t>
      </w:r>
    </w:p>
    <w:p>
      <w:pPr>
        <w:pStyle w:val="ListBullet"/>
      </w:pPr>
      <w:r>
        <w:t>The Information Technology organization uses ServiceNow to enforce consistent service baselines.</w:t>
      </w:r>
    </w:p>
    <w:p>
      <w:pPr>
        <w:pStyle w:val="ListBullet"/>
      </w:pPr>
      <w:r>
        <w:t>Systems are monitored via ServiceNow and alert routing in Confluence.</w:t>
      </w:r>
    </w:p>
    <w:p>
      <w:pPr>
        <w:pStyle w:val="ListBullet"/>
      </w:pPr>
      <w:r>
        <w:t>Escalations should follow the on-call rotation with a response target of 60 minutes.</w:t>
      </w:r>
    </w:p>
    <w:p>
      <w:pPr>
        <w:pStyle w:val="Heading1"/>
      </w:pPr>
      <w:r>
        <w:t>Change Management</w:t>
      </w:r>
    </w:p>
    <w:p>
      <w:r>
        <w:t>The process integrates with ERP System and depends on ServiceNow for telemetry signals. Teams must log requests in Confluence and track outcomes in ERP System for audit readiness. The Information Technology organization uses ServiceNow to enforce consistent service baselines.</w:t>
      </w:r>
    </w:p>
    <w:p>
      <w:r>
        <w:t>The Information Technology team coordinates with Security Analyst to maintain operational readiness. Stakeholders include the Security Analyst, service owner, and compliance lead for approvals.</w:t>
      </w:r>
    </w:p>
    <w:p>
      <w:pPr>
        <w:pStyle w:val="ListBullet"/>
      </w:pPr>
      <w:r>
        <w:t>Regional teams in EU follow the same policy with localized legal review.</w:t>
      </w:r>
    </w:p>
    <w:p>
      <w:pPr>
        <w:pStyle w:val="ListBullet"/>
      </w:pPr>
      <w:r>
        <w:t>This document aligns with SOX requirements and supports EU data residency expectations.</w:t>
      </w:r>
    </w:p>
    <w:p>
      <w:pPr>
        <w:pStyle w:val="ListBullet"/>
      </w:pPr>
      <w:r>
        <w:t>All incidents are tagged with severity and mapped to service tiers.</w:t>
      </w:r>
    </w:p>
    <w:p>
      <w:pPr>
        <w:pStyle w:val="Heading1"/>
      </w:pPr>
      <w:r>
        <w:t>Release Workflow</w:t>
      </w:r>
    </w:p>
    <w:p>
      <w:r>
        <w:t>Escalations should follow the on-call rotation with a response target of 60 minutes. The Information Technology team coordinates with Security Analyst to maintain operational readiness. The process integrates with ERP System and depends on ServiceNow for telemetry signals. Escalations should follow the on-call rotation with a response target of 60 minutes.</w:t>
      </w:r>
    </w:p>
    <w:p>
      <w:pPr>
        <w:pStyle w:val="ListBullet"/>
      </w:pPr>
      <w:r>
        <w:t>Risk acceptance must be documented and revalidated each quarter.</w:t>
      </w:r>
    </w:p>
    <w:p>
      <w:pPr>
        <w:pStyle w:val="ListBullet"/>
      </w:pPr>
      <w:r>
        <w:t>The Information Technology organization uses ServiceNow to enforce consistent service baselines.</w:t>
      </w:r>
    </w:p>
    <w:p>
      <w:pPr>
        <w:pStyle w:val="ListBullet"/>
      </w:pPr>
      <w:r>
        <w:t>All incidents are tagged with severity and mapped to service tiers.</w:t>
      </w:r>
    </w:p>
    <w:p>
      <w:pPr>
        <w:pStyle w:val="ListBullet"/>
      </w:pPr>
      <w:r>
        <w:t>All changes require peer review and validation in the ERP System before production promotion.</w:t>
      </w:r>
    </w:p>
    <w:p>
      <w:pPr>
        <w:pStyle w:val="ListBullet"/>
      </w:pPr>
      <w:r>
        <w:t>The Information Technology team coordinates with Security Analyst to maintain operational readiness.</w:t>
      </w:r>
    </w:p>
    <w:p>
      <w:pPr>
        <w:pStyle w:val="ListBullet"/>
      </w:pPr>
      <w:r>
        <w:t>All incidents are tagged with severity and mapped to service tiers.</w:t>
      </w:r>
    </w:p>
    <w:p>
      <w:pPr>
        <w:pStyle w:val="Heading1"/>
      </w:pPr>
      <w:r>
        <w:t>Monitoring and Alerts</w:t>
      </w:r>
    </w:p>
    <w:p>
      <w:r>
        <w:t>We prioritize customer impact, data integrity, and regulatory alignment. The Information Technology team coordinates with Security Analyst to maintain operational readiness.</w:t>
      </w:r>
    </w:p>
    <w:p>
      <w:r>
        <w:t>Escalations should follow the on-call rotation with a response target of 60 minutes. All changes require peer review and validation in the ERP System before production promotion.</w:t>
      </w:r>
    </w:p>
    <w:p>
      <w:pPr>
        <w:pStyle w:val="ListBullet"/>
      </w:pPr>
      <w:r>
        <w:t>Teams must log requests in Confluence and track outcomes in ERP System for audit readiness.</w:t>
      </w:r>
    </w:p>
    <w:p>
      <w:pPr>
        <w:pStyle w:val="ListBullet"/>
      </w:pPr>
      <w:r>
        <w:t>We prioritize customer impact, data integrity, and regulatory alignment.</w:t>
      </w:r>
    </w:p>
    <w:p>
      <w:pPr>
        <w:pStyle w:val="ListBullet"/>
      </w:pPr>
      <w:r>
        <w:t>Teams must log requests in Confluence and track outcomes in ERP System for audit readiness.</w:t>
      </w:r>
    </w:p>
    <w:p>
      <w:pPr>
        <w:pStyle w:val="ListBullet"/>
      </w:pPr>
      <w:r>
        <w:t>Stakeholders include the Security Analyst, service owner, and compliance lead for approvals.</w:t>
      </w:r>
    </w:p>
    <w:p>
      <w:pPr>
        <w:pStyle w:val="ListBullet"/>
      </w:pPr>
      <w:r>
        <w:t>This document aligns with SOX requirements and supports EU data residency expectations.</w:t>
      </w:r>
    </w:p>
    <w:p>
      <w:pPr>
        <w:pStyle w:val="Heading1"/>
      </w:pPr>
      <w:r>
        <w:t>Post-Release Review</w:t>
      </w:r>
    </w:p>
    <w:p>
      <w:r>
        <w:t>Systems are monitored via ServiceNow and alert routing in Confluence. Teams must log requests in Confluence and track outcomes in ERP System for audit readiness. The Information Technology team coordinates with Security Analyst to maintain operational readiness.</w:t>
      </w:r>
    </w:p>
    <w:p>
      <w:pPr>
        <w:pStyle w:val="ListBullet"/>
      </w:pPr>
      <w:r>
        <w:t>The Information Technology team coordinates with Security Analyst to maintain operational readiness.</w:t>
      </w:r>
    </w:p>
    <w:p>
      <w:pPr>
        <w:pStyle w:val="ListBullet"/>
      </w:pPr>
      <w:r>
        <w:t>Audit sampling occurs monthly and is summarized in leadership dashboards.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Access review</w:t>
            </w:r>
          </w:p>
        </w:tc>
        <w:tc>
          <w:tcPr>
            <w:tcW w:type="dxa" w:w="2880"/>
          </w:tcPr>
          <w:p>
            <w:r>
              <w:t>Security</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