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Information Technology EU v1.2</w:t>
      </w:r>
    </w:p>
    <w:p>
      <w:r>
        <w:t>Department: Information Technology</w:t>
      </w:r>
    </w:p>
    <w:p>
      <w:r>
        <w:t>Author: Morgan Nguyen</w:t>
      </w:r>
    </w:p>
    <w:p>
      <w:r>
        <w:t>Created date: 2026-02-27</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Risk acceptance must be documented and revalidated each quarter. The Information Technology organization uses Prometheus to enforce consistent service baselines. We prioritize customer impact, data integrity, and regulatory alignment.</w:t>
      </w:r>
    </w:p>
    <w:p>
      <w:r>
        <w:t>The process integrates with CRM Platform and depends on Prometheus for telemetry signals. Stakeholders include the SRE, service owner, and compliance lead for approvals.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Stakeholders include the SRE, service owner, and compliance lead for approvals.</w:t>
      </w:r>
    </w:p>
    <w:p>
      <w:pPr>
        <w:pStyle w:val="ListBullet"/>
      </w:pPr>
      <w:r>
        <w:t>This document aligns with PCI DSS requirements and supports EU data residency expectations.</w:t>
      </w:r>
    </w:p>
    <w:p>
      <w:pPr>
        <w:pStyle w:val="Heading1"/>
      </w:pPr>
      <w:r>
        <w:t>Change Management</w:t>
      </w:r>
    </w:p>
    <w:p>
      <w:r>
        <w:t>Evidence artifacts are retained in Confluence for at least 18 months. The Information Technology team coordinates with SRE to maintain operational readiness. This document aligns with PCI DSS requirements and supports EU data residency expectations. Escalations should follow the on-call rotation with a response target of 30 minutes.</w:t>
      </w:r>
    </w:p>
    <w:p>
      <w:pPr>
        <w:pStyle w:val="ListBullet"/>
      </w:pPr>
      <w:r>
        <w:t>We prioritize customer impact, data integrity, and regulatory alignment.</w:t>
      </w:r>
    </w:p>
    <w:p>
      <w:pPr>
        <w:pStyle w:val="ListBullet"/>
      </w:pPr>
      <w:r>
        <w:t>The Information Technology team coordinates with SRE to maintain operational readiness.</w:t>
      </w:r>
    </w:p>
    <w:p>
      <w:pPr>
        <w:pStyle w:val="ListBullet"/>
      </w:pPr>
      <w:r>
        <w:t>Risk acceptance must be documented and revalidated each quarter.</w:t>
      </w:r>
    </w:p>
    <w:p>
      <w:pPr>
        <w:pStyle w:val="Heading1"/>
      </w:pPr>
      <w:r>
        <w:t>Release Workflow</w:t>
      </w:r>
    </w:p>
    <w:p>
      <w:r>
        <w:t>Teams must log requests in Confluence and track outcomes in CRM Platform for audit readiness. The Information Technology organization uses Prometheus to enforce consistent service baselines. The Information Technology organization uses Prometheus to enforce consistent service baselines. Teams must log requests in Confluence and track outcomes in CRM Platform for audit readiness.</w:t>
      </w:r>
    </w:p>
    <w:p>
      <w:r>
        <w:t>The Information Technology team coordinates with SRE to maintain operational readiness. We prioritize customer impact, data integrity, and regulatory alignment. The process integrates with CRM Platform and depends on Prometheus for telemetry signals.</w:t>
      </w:r>
    </w:p>
    <w:p>
      <w:pPr>
        <w:pStyle w:val="ListBullet"/>
      </w:pPr>
      <w:r>
        <w:t>The Information Technology organization uses Prometheus to enforce consistent service baselines.</w:t>
      </w:r>
    </w:p>
    <w:p>
      <w:pPr>
        <w:pStyle w:val="ListBullet"/>
      </w:pPr>
      <w:r>
        <w:t>The Information Technology team coordinates with SRE to maintain operational readiness.</w:t>
      </w:r>
    </w:p>
    <w:p>
      <w:pPr>
        <w:pStyle w:val="ListBullet"/>
      </w:pPr>
      <w:r>
        <w:t>Escalations should follow the on-call rotation with a response target of 30 minutes.</w:t>
      </w:r>
    </w:p>
    <w:p>
      <w:pPr>
        <w:pStyle w:val="ListBullet"/>
      </w:pPr>
      <w:r>
        <w:t>The process integrates with CRM Platform and depends on Prometheus for telemetry signals.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Blocked</w:t>
            </w:r>
          </w:p>
        </w:tc>
      </w:tr>
      <w:tr>
        <w:tc>
          <w:tcPr>
            <w:tcW w:type="dxa" w:w="2880"/>
          </w:tcPr>
          <w:p>
            <w:r>
              <w:t>Vendor check</w:t>
            </w:r>
          </w:p>
        </w:tc>
        <w:tc>
          <w:tcPr>
            <w:tcW w:type="dxa" w:w="2880"/>
          </w:tcPr>
          <w:p>
            <w:r>
              <w:t>Information Technology</w:t>
            </w:r>
          </w:p>
        </w:tc>
        <w:tc>
          <w:tcPr>
            <w:tcW w:type="dxa" w:w="2880"/>
          </w:tcPr>
          <w:p>
            <w:r>
              <w:t>Complete</w:t>
            </w:r>
          </w:p>
        </w:tc>
      </w:tr>
      <w:tr>
        <w:tc>
          <w:tcPr>
            <w:tcW w:type="dxa" w:w="2880"/>
          </w:tcPr>
          <w:p>
            <w:r>
              <w:t>Vendor check</w:t>
            </w:r>
          </w:p>
        </w:tc>
        <w:tc>
          <w:tcPr>
            <w:tcW w:type="dxa" w:w="2880"/>
          </w:tcPr>
          <w:p>
            <w:r>
              <w:t>Operations</w:t>
            </w:r>
          </w:p>
        </w:tc>
        <w:tc>
          <w:tcPr>
            <w:tcW w:type="dxa" w:w="2880"/>
          </w:tcPr>
          <w:p>
            <w:r>
              <w:t>Complete</w:t>
            </w:r>
          </w:p>
        </w:tc>
      </w:tr>
    </w:tbl>
    <w:p>
      <w:pPr>
        <w:pStyle w:val="Heading1"/>
      </w:pPr>
      <w:r>
        <w:t>Monitoring and Alerts</w:t>
      </w:r>
    </w:p>
    <w:p>
      <w:r>
        <w:t>All changes require peer review and validation in the CRM Platform before production promotion. Escalations should follow the on-call rotation with a response target of 30 minutes. Systems are monitored via Prometheus and alert routing in Confluence.</w:t>
      </w:r>
    </w:p>
    <w:p>
      <w:r>
        <w:t>The process integrates with CRM Platform and depends on Prometheus for telemetry signals. Audit sampling occurs monthly and is summarized in leadership dashboards.</w:t>
      </w:r>
    </w:p>
    <w:p>
      <w:pPr>
        <w:pStyle w:val="ListBullet"/>
      </w:pPr>
      <w:r>
        <w:t>The Information Technology organization uses Prometheus to enforce consistent service baselines.</w:t>
      </w:r>
    </w:p>
    <w:p>
      <w:pPr>
        <w:pStyle w:val="ListBullet"/>
      </w:pPr>
      <w:r>
        <w:t>Teams must log requests in Confluence and track outcomes in CRM Platform for audit readiness.</w:t>
      </w:r>
    </w:p>
    <w:p>
      <w:pPr>
        <w:pStyle w:val="ListBullet"/>
      </w:pPr>
      <w:r>
        <w:t>All incidents are tagged with severity and mapped to service tiers.</w:t>
      </w:r>
    </w:p>
    <w:p>
      <w:pPr>
        <w:pStyle w:val="ListBullet"/>
      </w:pPr>
      <w:r>
        <w:t>The Information Technology organization uses Prometheus to enforce consistent service baselines.</w:t>
      </w:r>
    </w:p>
    <w:p>
      <w:pPr>
        <w:pStyle w:val="Heading1"/>
      </w:pPr>
      <w:r>
        <w:t>Post-Release Review</w:t>
      </w:r>
    </w:p>
    <w:p>
      <w:r>
        <w:t>Teams must log requests in Confluence and track outcomes in CRM Platform for audit readiness. The Information Technology team coordinates with SRE to maintain operational readiness. Risk acceptance must be documented and revalidated each quarter.</w:t>
      </w:r>
    </w:p>
    <w:p>
      <w:pPr>
        <w:pStyle w:val="ListBullet"/>
      </w:pPr>
      <w:r>
        <w:t>Escalations should follow the on-call rotation with a response target of 30 minutes.</w:t>
      </w:r>
    </w:p>
    <w:p>
      <w:pPr>
        <w:pStyle w:val="ListBullet"/>
      </w:pPr>
      <w:r>
        <w:t>Teams must log requests in Confluence and track outcomes in CRM Platform for audit readiness.</w:t>
      </w:r>
    </w:p>
    <w:p>
      <w:pPr>
        <w:pStyle w:val="ListBullet"/>
      </w:pPr>
      <w:r>
        <w:t>Evidence artifacts are retained in Confluence for at least 18 months.</w:t>
      </w:r>
    </w:p>
    <w:p>
      <w:pPr>
        <w:pStyle w:val="ListBullet"/>
      </w:pPr>
      <w:r>
        <w:t>Regional teams in EU follow the same policy with localized legal review.</w:t>
      </w:r>
    </w:p>
    <w:p>
      <w:pPr>
        <w:pStyle w:val="ListBullet"/>
      </w:pPr>
      <w:r>
        <w:t>All changes require peer review and validation in the CRM Platform before production promotion.</w:t>
      </w:r>
    </w:p>
    <w:p>
      <w:pPr>
        <w:pStyle w:val="ListBullet"/>
      </w:pPr>
      <w:r>
        <w:t>Evidence artifacts are retained in Confluence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Incident drill</w:t>
            </w:r>
          </w:p>
        </w:tc>
        <w:tc>
          <w:tcPr>
            <w:tcW w:type="dxa" w:w="2880"/>
          </w:tcPr>
          <w:p>
            <w:r>
              <w:t>Operations</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