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Information Technology US v3.0</w:t>
      </w:r>
    </w:p>
    <w:p>
      <w:r>
        <w:t>Department: Information Technology</w:t>
      </w:r>
    </w:p>
    <w:p>
      <w:r>
        <w:t>Author: Morgan Lee</w:t>
      </w:r>
    </w:p>
    <w:p>
      <w:r>
        <w:t>Created date: 2024-11-24</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Evidence artifacts are retained in Jira for at least 18 months. All incidents are tagged with severity and mapped to service tiers. The Information Technology team coordinates with Compliance Manager to maintain operational readiness.</w:t>
      </w:r>
    </w:p>
    <w:p>
      <w:r>
        <w:t>We prioritize customer impact, data integrity, and regulatory alignment. Regional teams in US follow the same policy with localized legal review. We prioritize customer impact, data integrity, and regulatory alignment. All changes require peer review and validation in the Ticketing Platform before production promotion.</w:t>
      </w:r>
    </w:p>
    <w:p>
      <w:pPr>
        <w:pStyle w:val="ListBullet"/>
      </w:pPr>
      <w:r>
        <w:t>Audit sampling occurs monthly and is summarized in leadership dashboards.</w:t>
      </w:r>
    </w:p>
    <w:p>
      <w:pPr>
        <w:pStyle w:val="ListBullet"/>
      </w:pPr>
      <w:r>
        <w:t>Escalations should follow the on-call rotation with a response target of 60 minutes.</w:t>
      </w:r>
    </w:p>
    <w:p>
      <w:pPr>
        <w:pStyle w:val="ListBullet"/>
      </w:pPr>
      <w:r>
        <w:t>Regional teams in US follow the same policy with localized legal review.</w:t>
      </w:r>
    </w:p>
    <w:p>
      <w:pPr>
        <w:pStyle w:val="Heading1"/>
      </w:pPr>
      <w:r>
        <w:t>Change Management</w:t>
      </w:r>
    </w:p>
    <w:p>
      <w:r>
        <w:t>All incidents are tagged with severity and mapped to service tiers. Stakeholders include the Compliance Manager, service owner, and compliance lead for approvals. All incidents are tagged with severity and mapped to service tiers.</w:t>
      </w:r>
    </w:p>
    <w:p>
      <w:r>
        <w:t>Escalations should follow the on-call rotation with a response target of 60 minutes. This document aligns with GDPR requirements and supports US data residency expectations.</w:t>
      </w:r>
    </w:p>
    <w:p>
      <w:pPr>
        <w:pStyle w:val="ListBullet"/>
      </w:pPr>
      <w:r>
        <w:t>All incidents are tagged with severity and mapped to service tiers.</w:t>
      </w:r>
    </w:p>
    <w:p>
      <w:pPr>
        <w:pStyle w:val="ListBullet"/>
      </w:pPr>
      <w:r>
        <w:t>The Information Technology organization uses Datadog to enforce consistent service baselines.</w:t>
      </w:r>
    </w:p>
    <w:p>
      <w:pPr>
        <w:pStyle w:val="ListBullet"/>
      </w:pPr>
      <w:r>
        <w:t>Systems are monitored via Datadog and alert routing in Jira.</w:t>
      </w:r>
    </w:p>
    <w:p>
      <w:pPr>
        <w:pStyle w:val="ListBullet"/>
      </w:pPr>
      <w:r>
        <w:t>The Information Technology team coordinates with Compliance Manager to maintain operational readiness.</w:t>
      </w:r>
    </w:p>
    <w:p>
      <w:pPr>
        <w:pStyle w:val="ListBullet"/>
      </w:pPr>
      <w:r>
        <w:t>The Information Technology organization uses Datadog to enforce consistent service baselines.</w:t>
      </w:r>
    </w:p>
    <w:p>
      <w:pPr>
        <w:pStyle w:val="ListBullet"/>
      </w:pPr>
      <w:r>
        <w:t>All changes require peer review and validation in the Ticketing Platform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Compliance Manager</w:t>
            </w:r>
          </w:p>
        </w:tc>
        <w:tc>
          <w:tcPr>
            <w:tcW w:type="dxa" w:w="2880"/>
          </w:tcPr>
          <w:p>
            <w:r>
              <w:t>Blocked</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Vendor check</w:t>
            </w:r>
          </w:p>
        </w:tc>
        <w:tc>
          <w:tcPr>
            <w:tcW w:type="dxa" w:w="2880"/>
          </w:tcPr>
          <w:p>
            <w:r>
              <w:t>Information Technology</w:t>
            </w:r>
          </w:p>
        </w:tc>
        <w:tc>
          <w:tcPr>
            <w:tcW w:type="dxa" w:w="2880"/>
          </w:tcPr>
          <w:p>
            <w:r>
              <w:t>Complete</w:t>
            </w:r>
          </w:p>
        </w:tc>
      </w:tr>
    </w:tbl>
    <w:p>
      <w:pPr>
        <w:pStyle w:val="Heading1"/>
      </w:pPr>
      <w:r>
        <w:t>Release Workflow</w:t>
      </w:r>
    </w:p>
    <w:p>
      <w:r>
        <w:t>Systems are monitored via Datadog and alert routing in Jira. We prioritize customer impact, data integrity, and regulatory alignment. Systems are monitored via Datadog and alert routing in Jira.</w:t>
      </w:r>
    </w:p>
    <w:p>
      <w:r>
        <w:t>Audit sampling occurs monthly and is summarized in leadership dashboards. The Information Technology team coordinates with Compliance Manager to maintain operational readiness.</w:t>
      </w:r>
    </w:p>
    <w:p>
      <w:pPr>
        <w:pStyle w:val="ListBullet"/>
      </w:pPr>
      <w:r>
        <w:t>Escalations should follow the on-call rotation with a response target of 60 minutes.</w:t>
      </w:r>
    </w:p>
    <w:p>
      <w:pPr>
        <w:pStyle w:val="ListBullet"/>
      </w:pPr>
      <w:r>
        <w:t>Teams must log requests in Jira and track outcomes in Ticketing Platform for audit readiness.</w:t>
      </w:r>
    </w:p>
    <w:p>
      <w:pPr>
        <w:pStyle w:val="ListBullet"/>
      </w:pPr>
      <w:r>
        <w:t>Escalations should follow the on-call rotation with a response target of 60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Backup validation</w:t>
            </w:r>
          </w:p>
        </w:tc>
        <w:tc>
          <w:tcPr>
            <w:tcW w:type="dxa" w:w="2880"/>
          </w:tcPr>
          <w:p>
            <w:r>
              <w:t>Security</w:t>
            </w:r>
          </w:p>
        </w:tc>
        <w:tc>
          <w:tcPr>
            <w:tcW w:type="dxa" w:w="2880"/>
          </w:tcPr>
          <w:p>
            <w:r>
              <w:t>Blocked</w:t>
            </w:r>
          </w:p>
        </w:tc>
      </w:tr>
    </w:tbl>
    <w:p>
      <w:pPr>
        <w:pStyle w:val="Heading1"/>
      </w:pPr>
      <w:r>
        <w:t>Monitoring and Alerts</w:t>
      </w:r>
    </w:p>
    <w:p>
      <w:r>
        <w:t>Escalations should follow the on-call rotation with a response target of 60 minutes. Systems are monitored via Datadog and alert routing in Jira. The Information Technology organization uses Datadog to enforce consistent service baselines. Stakeholders include the Compliance Manager, service owner, and compliance lead for approvals.</w:t>
      </w:r>
    </w:p>
    <w:p>
      <w:r>
        <w:t>Regional teams in US follow the same policy with localized legal review. Teams must log requests in Jira and track outcomes in Ticketing Platform for audit readiness.</w:t>
      </w:r>
    </w:p>
    <w:p>
      <w:pPr>
        <w:pStyle w:val="ListBullet"/>
      </w:pPr>
      <w:r>
        <w:t>Evidence artifacts are retained in Jira for at least 18 months.</w:t>
      </w:r>
    </w:p>
    <w:p>
      <w:pPr>
        <w:pStyle w:val="ListBullet"/>
      </w:pPr>
      <w:r>
        <w:t>The process integrates with Ticketing Platform and depends on Datadog for telemetry signals.</w:t>
      </w:r>
    </w:p>
    <w:p>
      <w:pPr>
        <w:pStyle w:val="ListBullet"/>
      </w:pPr>
      <w:r>
        <w:t>All incidents are tagged with severity and mapped to service tiers.</w:t>
      </w:r>
    </w:p>
    <w:p>
      <w:pPr>
        <w:pStyle w:val="Heading1"/>
      </w:pPr>
      <w:r>
        <w:t>Post-Release Review</w:t>
      </w:r>
    </w:p>
    <w:p>
      <w:r>
        <w:t>Regional teams in US follow the same policy with localized legal review. All incidents are tagged with severity and mapped to service tiers.</w:t>
      </w:r>
    </w:p>
    <w:p>
      <w:r>
        <w:t>Evidence artifacts are retained in Jira for at least 18 months. Evidence artifacts are retained in Jira for at least 18 months.</w:t>
      </w:r>
    </w:p>
    <w:p>
      <w:pPr>
        <w:pStyle w:val="ListBullet"/>
      </w:pPr>
      <w:r>
        <w:t>This document aligns with GDPR requirements and supports US data residency expectations.</w:t>
      </w:r>
    </w:p>
    <w:p>
      <w:pPr>
        <w:pStyle w:val="ListBullet"/>
      </w:pPr>
      <w:r>
        <w:t>Stakeholders include the Compliance Manager, service owner, and compliance lead for approvals.</w:t>
      </w:r>
    </w:p>
    <w:p>
      <w:pPr>
        <w:pStyle w:val="ListBullet"/>
      </w:pPr>
      <w:r>
        <w:t>Escalations should follow the on-call rotation with a response target of 60 minutes.</w:t>
      </w:r>
    </w:p>
    <w:p>
      <w:pPr>
        <w:pStyle w:val="ListBullet"/>
      </w:pPr>
      <w:r>
        <w:t>The Information Technology organization uses Datadog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