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Operations APAC v2.0</w:t>
      </w:r>
    </w:p>
    <w:p>
      <w:r>
        <w:t>Department: Operations</w:t>
      </w:r>
    </w:p>
    <w:p>
      <w:r>
        <w:t>Author: Casey Patel</w:t>
      </w:r>
    </w:p>
    <w:p>
      <w:r>
        <w:t>Created date: 2024-11-09</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Systems are monitored via GCP and alert routing in Workday. Escalations should follow the on-call rotation with a response target of 45 minutes. The process integrates with CI/CD Pipeline and depends on GCP for telemetry signals.</w:t>
      </w:r>
    </w:p>
    <w:p>
      <w:pPr>
        <w:pStyle w:val="ListBullet"/>
      </w:pPr>
      <w:r>
        <w:t>Escalations should follow the on-call rotation with a response target of 45 minutes.</w:t>
      </w:r>
    </w:p>
    <w:p>
      <w:pPr>
        <w:pStyle w:val="ListBullet"/>
      </w:pPr>
      <w:r>
        <w:t>Evidence artifacts are retained in Workday for at least 24 months.</w:t>
      </w:r>
    </w:p>
    <w:p>
      <w:pPr>
        <w:pStyle w:val="ListBullet"/>
      </w:pPr>
      <w:r>
        <w:t>The Operations team coordinates with Product Manager to maintain operational readiness.</w:t>
      </w:r>
    </w:p>
    <w:p>
      <w:pPr>
        <w:pStyle w:val="ListBullet"/>
      </w:pPr>
      <w:r>
        <w:t>Risk acceptance must be documented and revalidated each quarter.</w:t>
      </w:r>
    </w:p>
    <w:p>
      <w:pPr>
        <w:pStyle w:val="ListBullet"/>
      </w:pPr>
      <w:r>
        <w:t>The process integrates with CI/CD Pipeline and depends on GCP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Patch window</w:t>
            </w:r>
          </w:p>
        </w:tc>
        <w:tc>
          <w:tcPr>
            <w:tcW w:type="dxa" w:w="2880"/>
          </w:tcPr>
          <w:p>
            <w:r>
              <w:t>Operations</w:t>
            </w:r>
          </w:p>
        </w:tc>
        <w:tc>
          <w:tcPr>
            <w:tcW w:type="dxa" w:w="2880"/>
          </w:tcPr>
          <w:p>
            <w:r>
              <w:t>Complete</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Incident drill</w:t>
            </w:r>
          </w:p>
        </w:tc>
        <w:tc>
          <w:tcPr>
            <w:tcW w:type="dxa" w:w="2880"/>
          </w:tcPr>
          <w:p>
            <w:r>
              <w:t>Operations</w:t>
            </w:r>
          </w:p>
        </w:tc>
        <w:tc>
          <w:tcPr>
            <w:tcW w:type="dxa" w:w="2880"/>
          </w:tcPr>
          <w:p>
            <w:r>
              <w:t>In Progress</w:t>
            </w:r>
          </w:p>
        </w:tc>
      </w:tr>
    </w:tbl>
    <w:p>
      <w:pPr>
        <w:pStyle w:val="Heading1"/>
      </w:pPr>
      <w:r>
        <w:t>Change Management</w:t>
      </w:r>
    </w:p>
    <w:p>
      <w:r>
        <w:t>We prioritize customer impact, data integrity, and regulatory alignment. Evidence artifacts are retained in Workday for at least 24 months. Audit sampling occurs monthly and is summarized in leadership dashboards.</w:t>
      </w:r>
    </w:p>
    <w:p>
      <w:pPr>
        <w:pStyle w:val="ListBullet"/>
      </w:pPr>
      <w:r>
        <w:t>The Operations organization uses GCP to enforce consistent service baselines.</w:t>
      </w:r>
    </w:p>
    <w:p>
      <w:pPr>
        <w:pStyle w:val="ListBullet"/>
      </w:pPr>
      <w:r>
        <w:t>Evidence artifacts are retained in Workday for at least 24 months.</w:t>
      </w:r>
    </w:p>
    <w:p>
      <w:pPr>
        <w:pStyle w:val="ListBullet"/>
      </w:pPr>
      <w:r>
        <w:t>Audit sampling occurs monthly and is summarized in leadership dashboards.</w:t>
      </w:r>
    </w:p>
    <w:p>
      <w:pPr>
        <w:pStyle w:val="ListBullet"/>
      </w:pPr>
      <w:r>
        <w:t>Teams must log requests in Workday and track outcomes in CI/CD Pipeline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Patch window</w:t>
            </w:r>
          </w:p>
        </w:tc>
        <w:tc>
          <w:tcPr>
            <w:tcW w:type="dxa" w:w="2880"/>
          </w:tcPr>
          <w:p>
            <w:r>
              <w:t>Operations</w:t>
            </w:r>
          </w:p>
        </w:tc>
        <w:tc>
          <w:tcPr>
            <w:tcW w:type="dxa" w:w="2880"/>
          </w:tcPr>
          <w:p>
            <w:r>
              <w:t>Blocked</w:t>
            </w:r>
          </w:p>
        </w:tc>
      </w:tr>
    </w:tbl>
    <w:p>
      <w:pPr>
        <w:pStyle w:val="Heading1"/>
      </w:pPr>
      <w:r>
        <w:t>Release Workflow</w:t>
      </w:r>
    </w:p>
    <w:p>
      <w:r>
        <w:t>All changes require peer review and validation in the CI/CD Pipeline before production promotion. All changes require peer review and validation in the CI/CD Pipeline before production promotion.</w:t>
      </w:r>
    </w:p>
    <w:p>
      <w:r>
        <w:t>This document aligns with SOC 2 requirements and supports APAC data residency expectations. The process integrates with CI/CD Pipeline and depends on GCP for telemetry signals. The process integrates with CI/CD Pipeline and depends on GCP for telemetry signals.</w:t>
      </w:r>
    </w:p>
    <w:p>
      <w:pPr>
        <w:pStyle w:val="ListBullet"/>
      </w:pPr>
      <w:r>
        <w:t>All incidents are tagged with severity and mapped to service tiers.</w:t>
      </w:r>
    </w:p>
    <w:p>
      <w:pPr>
        <w:pStyle w:val="ListBullet"/>
      </w:pPr>
      <w:r>
        <w:t>Stakeholders include the Product Manager, service owner, and compliance lead for approvals.</w:t>
      </w:r>
    </w:p>
    <w:p>
      <w:pPr>
        <w:pStyle w:val="ListBullet"/>
      </w:pPr>
      <w:r>
        <w:t>Regional teams in APAC follow the same policy with localized legal review.</w:t>
      </w:r>
    </w:p>
    <w:p>
      <w:pPr>
        <w:pStyle w:val="ListBullet"/>
      </w:pPr>
      <w:r>
        <w:t>The Operations team coordinates with Product Manager to maintain operational readiness.</w:t>
      </w:r>
    </w:p>
    <w:p>
      <w:pPr>
        <w:pStyle w:val="ListBullet"/>
      </w:pPr>
      <w:r>
        <w:t>Systems are monitored via GCP and alert routing in Workday.</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Vendor check</w:t>
            </w:r>
          </w:p>
        </w:tc>
        <w:tc>
          <w:tcPr>
            <w:tcW w:type="dxa" w:w="2880"/>
          </w:tcPr>
          <w:p>
            <w:r>
              <w:t>Security</w:t>
            </w:r>
          </w:p>
        </w:tc>
        <w:tc>
          <w:tcPr>
            <w:tcW w:type="dxa" w:w="2880"/>
          </w:tcPr>
          <w:p>
            <w:r>
              <w:t>Blocked</w:t>
            </w:r>
          </w:p>
        </w:tc>
      </w:tr>
    </w:tbl>
    <w:p>
      <w:pPr>
        <w:pStyle w:val="Heading1"/>
      </w:pPr>
      <w:r>
        <w:t>Monitoring and Alerts</w:t>
      </w:r>
    </w:p>
    <w:p>
      <w:r>
        <w:t>All changes require peer review and validation in the CI/CD Pipeline before production promotion. Stakeholders include the Product Manager, service owner, and compliance lead for approvals. Regional teams in APAC follow the same policy with localized legal review. We prioritize customer impact, data integrity, and regulatory alignment.</w:t>
      </w:r>
    </w:p>
    <w:p>
      <w:r>
        <w:t>All changes require peer review and validation in the CI/CD Pipeline before production promotion. We prioritize customer impact, data integrity, and regulatory alignment. The Operations team coordinates with Product Manager to maintain operational readiness.</w:t>
      </w:r>
    </w:p>
    <w:p>
      <w:pPr>
        <w:pStyle w:val="ListBullet"/>
      </w:pPr>
      <w:r>
        <w:t>Escalations should follow the on-call rotation with a response target of 45 minutes.</w:t>
      </w:r>
    </w:p>
    <w:p>
      <w:pPr>
        <w:pStyle w:val="ListBullet"/>
      </w:pPr>
      <w:r>
        <w:t>The process integrates with CI/CD Pipeline and depends on GCP for telemetry signals.</w:t>
      </w:r>
    </w:p>
    <w:p>
      <w:pPr>
        <w:pStyle w:val="ListBullet"/>
      </w:pPr>
      <w:r>
        <w:t>Regional teams in APAC follow the same policy with localized legal review.</w:t>
      </w:r>
    </w:p>
    <w:p>
      <w:pPr>
        <w:pStyle w:val="ListBullet"/>
      </w:pPr>
      <w:r>
        <w:t>Systems are monitored via GCP and alert routing in Workday.</w:t>
      </w:r>
    </w:p>
    <w:p>
      <w:pPr>
        <w:pStyle w:val="Heading1"/>
      </w:pPr>
      <w:r>
        <w:t>Post-Release Review</w:t>
      </w:r>
    </w:p>
    <w:p>
      <w:r>
        <w:t>Risk acceptance must be documented and revalidated each quarter. Stakeholders include the Product Manager, service owner, and compliance lead for approvals.</w:t>
      </w:r>
    </w:p>
    <w:p>
      <w:r>
        <w:t>Systems are monitored via GCP and alert routing in Workday. This document aligns with SOC 2 requirements and supports APAC data residency expectations.</w:t>
      </w:r>
    </w:p>
    <w:p>
      <w:pPr>
        <w:pStyle w:val="ListBullet"/>
      </w:pPr>
      <w:r>
        <w:t>Risk acceptance must be documented and revalidated each quarter.</w:t>
      </w:r>
    </w:p>
    <w:p>
      <w:pPr>
        <w:pStyle w:val="ListBullet"/>
      </w:pPr>
      <w:r>
        <w:t>Evidence artifacts are retained in Workday for at least 24 months.</w:t>
      </w:r>
    </w:p>
    <w:p>
      <w:pPr>
        <w:pStyle w:val="ListBullet"/>
      </w:pPr>
      <w:r>
        <w:t>We prioritize customer impact, data integrity, and regulatory alignment.</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