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Product EU v1.2</w:t>
      </w:r>
    </w:p>
    <w:p>
      <w:r>
        <w:t>Department: Product</w:t>
      </w:r>
    </w:p>
    <w:p>
      <w:r>
        <w:t>Author: Casey Kim</w:t>
      </w:r>
    </w:p>
    <w:p>
      <w:r>
        <w:t>Created date: 2026-02-23</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All incidents are tagged with severity and mapped to service tiers. Evidence artifacts are retained in Slack for at least 24 months. We prioritize customer impact, data integrity, and regulatory alignment. The process integrates with Document Repository and depends on Prometheus for telemetry signals.</w:t>
      </w:r>
    </w:p>
    <w:p>
      <w:r>
        <w:t>Evidence artifacts are retained in Slack for at least 24 months. Teams must log requests in Slack and track outcomes in Document Repository for audit readiness. Systems are monitored via Prometheus and alert routing in Slack.</w:t>
      </w:r>
    </w:p>
    <w:p>
      <w:pPr>
        <w:pStyle w:val="ListBullet"/>
      </w:pPr>
      <w:r>
        <w:t>Evidence artifacts are retained in Slack for at least 24 months.</w:t>
      </w:r>
    </w:p>
    <w:p>
      <w:pPr>
        <w:pStyle w:val="ListBullet"/>
      </w:pPr>
      <w:r>
        <w:t>Risk acceptance must be documented and revalidated each quarter.</w:t>
      </w:r>
    </w:p>
    <w:p>
      <w:pPr>
        <w:pStyle w:val="ListBullet"/>
      </w:pPr>
      <w:r>
        <w:t>All changes require peer review and validation in the Document Repository before production promotion.</w:t>
      </w:r>
    </w:p>
    <w:p>
      <w:pPr>
        <w:pStyle w:val="ListBullet"/>
      </w:pPr>
      <w:r>
        <w:t>The Product organization uses Prometheus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Product</w:t>
            </w:r>
          </w:p>
        </w:tc>
        <w:tc>
          <w:tcPr>
            <w:tcW w:type="dxa" w:w="2880"/>
          </w:tcPr>
          <w:p>
            <w:r>
              <w:t>In Progress</w:t>
            </w:r>
          </w:p>
        </w:tc>
      </w:tr>
      <w:tr>
        <w:tc>
          <w:tcPr>
            <w:tcW w:type="dxa" w:w="2880"/>
          </w:tcPr>
          <w:p>
            <w:r>
              <w:t>Backup validation</w:t>
            </w:r>
          </w:p>
        </w:tc>
        <w:tc>
          <w:tcPr>
            <w:tcW w:type="dxa" w:w="2880"/>
          </w:tcPr>
          <w:p>
            <w:r>
              <w:t>Product</w:t>
            </w:r>
          </w:p>
        </w:tc>
        <w:tc>
          <w:tcPr>
            <w:tcW w:type="dxa" w:w="2880"/>
          </w:tcPr>
          <w:p>
            <w:r>
              <w:t>Complete</w:t>
            </w:r>
          </w:p>
        </w:tc>
      </w:tr>
    </w:tbl>
    <w:p>
      <w:pPr>
        <w:pStyle w:val="Heading1"/>
      </w:pPr>
      <w:r>
        <w:t>Change Management</w:t>
      </w:r>
    </w:p>
    <w:p>
      <w:r>
        <w:t>Teams must log requests in Slack and track outcomes in Document Repository for audit readiness. This document aligns with GDPR requirements and supports EU data residency expectations. Escalations should follow the on-call rotation with a response target of 60 minutes.</w:t>
      </w:r>
    </w:p>
    <w:p>
      <w:r>
        <w:t>All changes require peer review and validation in the Document Repository before production promotion. The Product team coordinates with HR Business Partner to maintain operational readiness. Evidence artifacts are retained in Slack for at least 24 months.</w:t>
      </w:r>
    </w:p>
    <w:p>
      <w:pPr>
        <w:pStyle w:val="ListBullet"/>
      </w:pPr>
      <w:r>
        <w:t>Stakeholders include the HR Business Partner, service owner, and compliance lead for approvals.</w:t>
      </w:r>
    </w:p>
    <w:p>
      <w:pPr>
        <w:pStyle w:val="ListBullet"/>
      </w:pPr>
      <w:r>
        <w:t>All changes require peer review and validation in the Document Repository before production promotion.</w:t>
      </w:r>
    </w:p>
    <w:p>
      <w:pPr>
        <w:pStyle w:val="ListBullet"/>
      </w:pPr>
      <w:r>
        <w:t>Regional teams in EU follow the same policy with localized legal review.</w:t>
      </w:r>
    </w:p>
    <w:p>
      <w:pPr>
        <w:pStyle w:val="ListBullet"/>
      </w:pPr>
      <w:r>
        <w:t>Systems are monitored via Prometheus and alert routing in Slack.</w:t>
      </w:r>
    </w:p>
    <w:p>
      <w:pPr>
        <w:pStyle w:val="ListBullet"/>
      </w:pPr>
      <w:r>
        <w:t>Escalations should follow the on-call rotation with a response target of 60 minutes.</w:t>
      </w:r>
    </w:p>
    <w:p>
      <w:pPr>
        <w:pStyle w:val="ListBullet"/>
      </w:pPr>
      <w:r>
        <w:t>Risk acceptance must be documented and revalidated each quarter.</w:t>
      </w:r>
    </w:p>
    <w:p>
      <w:pPr>
        <w:pStyle w:val="Heading1"/>
      </w:pPr>
      <w:r>
        <w:t>Release Workflow</w:t>
      </w:r>
    </w:p>
    <w:p>
      <w:r>
        <w:t>We prioritize customer impact, data integrity, and regulatory alignment. We prioritize customer impact, data integrity, and regulatory alignment. Evidence artifacts are retained in Slack for at least 24 months.</w:t>
      </w:r>
    </w:p>
    <w:p>
      <w:r>
        <w:t>Stakeholders include the HR Business Partner, service owner, and compliance lead for approvals. All incidents are tagged with severity and mapped to service tiers.</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This document aligns with GDPR requirements and supports EU data residency expectations.</w:t>
      </w:r>
    </w:p>
    <w:p>
      <w:pPr>
        <w:pStyle w:val="ListBullet"/>
      </w:pPr>
      <w:r>
        <w:t>All incidents are tagged with severity and mapped to service tiers.</w:t>
      </w:r>
    </w:p>
    <w:p>
      <w:pPr>
        <w:pStyle w:val="ListBullet"/>
      </w:pPr>
      <w:r>
        <w:t>Stakeholders include the HR Business Partner, service owner, and compliance lead for approvals.</w:t>
      </w:r>
    </w:p>
    <w:p>
      <w:pPr>
        <w:pStyle w:val="ListBullet"/>
      </w:pPr>
      <w:r>
        <w:t>Stakeholders include the HR Business Partner, service owner, and compliance lead for approvals.</w:t>
      </w:r>
    </w:p>
    <w:p>
      <w:pPr>
        <w:pStyle w:val="Heading1"/>
      </w:pPr>
      <w:r>
        <w:t>Monitoring and Alerts</w:t>
      </w:r>
    </w:p>
    <w:p>
      <w:r>
        <w:t>The Product organization uses Prometheus to enforce consistent service baselines. The Product team coordinates with HR Business Partner to maintain operational readiness. The Product organization uses Prometheus to enforce consistent service baselines.</w:t>
      </w:r>
    </w:p>
    <w:p>
      <w:r>
        <w:t>Systems are monitored via Prometheus and alert routing in Slack. The Product team coordinates with HR Business Partner to maintain operational readiness.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Product</w:t>
            </w:r>
          </w:p>
        </w:tc>
        <w:tc>
          <w:tcPr>
            <w:tcW w:type="dxa" w:w="2880"/>
          </w:tcPr>
          <w:p>
            <w:r>
              <w:t>Blocked</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Backup validation</w:t>
            </w:r>
          </w:p>
        </w:tc>
        <w:tc>
          <w:tcPr>
            <w:tcW w:type="dxa" w:w="2880"/>
          </w:tcPr>
          <w:p>
            <w:r>
              <w:t>Product</w:t>
            </w:r>
          </w:p>
        </w:tc>
        <w:tc>
          <w:tcPr>
            <w:tcW w:type="dxa" w:w="2880"/>
          </w:tcPr>
          <w:p>
            <w:r>
              <w:t>Planned</w:t>
            </w:r>
          </w:p>
        </w:tc>
      </w:tr>
      <w:tr>
        <w:tc>
          <w:tcPr>
            <w:tcW w:type="dxa" w:w="2880"/>
          </w:tcPr>
          <w:p>
            <w:r>
              <w:t>Vendor check</w:t>
            </w:r>
          </w:p>
        </w:tc>
        <w:tc>
          <w:tcPr>
            <w:tcW w:type="dxa" w:w="2880"/>
          </w:tcPr>
          <w:p>
            <w:r>
              <w:t>HR Business Partner</w:t>
            </w:r>
          </w:p>
        </w:tc>
        <w:tc>
          <w:tcPr>
            <w:tcW w:type="dxa" w:w="2880"/>
          </w:tcPr>
          <w:p>
            <w:r>
              <w:t>Complete</w:t>
            </w:r>
          </w:p>
        </w:tc>
      </w:tr>
    </w:tbl>
    <w:p>
      <w:pPr>
        <w:pStyle w:val="Heading1"/>
      </w:pPr>
      <w:r>
        <w:t>Post-Release Review</w:t>
      </w:r>
    </w:p>
    <w:p>
      <w:r>
        <w:t>All changes require peer review and validation in the Document Repository before production promotion. Escalations should follow the on-call rotation with a response target of 60 minutes. This document aligns with GDPR requirements and supports EU data residency expectations. Stakeholders include the HR Business Partner, service owner, and compliance lead for approvals.</w:t>
      </w:r>
    </w:p>
    <w:p>
      <w:r>
        <w:t>Risk acceptance must be documented and revalidated each quarter. Teams must log requests in Slack and track outcomes in Document Repository for audit readiness.</w:t>
      </w:r>
    </w:p>
    <w:p>
      <w:pPr>
        <w:pStyle w:val="ListBullet"/>
      </w:pPr>
      <w:r>
        <w:t>The process integrates with Document Repository and depends on Prometheus for telemetry signals.</w:t>
      </w:r>
    </w:p>
    <w:p>
      <w:pPr>
        <w:pStyle w:val="ListBullet"/>
      </w:pPr>
      <w:r>
        <w:t>The Product organization uses Prometheus to enforce consistent service baselines.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The process integrates with Document Repository and depends on Prometheus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