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Cloud Infrastructure APAC v2.1</w:t>
      </w:r>
    </w:p>
    <w:p>
      <w:r>
        <w:t>Department: Cloud Infrastructure</w:t>
      </w:r>
    </w:p>
    <w:p>
      <w:r>
        <w:t>Author: Avery Patel</w:t>
      </w:r>
    </w:p>
    <w:p>
      <w:r>
        <w:t>Created date: 2025-11-02</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We prioritize customer impact, data integrity, and regulatory alignment. All changes require peer review and validation in the Payment Processing Service before production promotion. The Cloud Infrastructure team coordinates with HR Business Partner to maintain operational readiness. We prioritize customer impact, data integrity, and regulatory alignment.</w:t>
      </w:r>
    </w:p>
    <w:p>
      <w:r>
        <w:t>Regional teams in APAC follow the same policy with localized legal review. This document aligns with SOX requirements and supports APAC data residency expectations. The Cloud Infrastructure organization uses Azure to enforce consistent service baselines.</w:t>
      </w:r>
    </w:p>
    <w:p>
      <w:pPr>
        <w:pStyle w:val="ListBullet"/>
      </w:pPr>
      <w:r>
        <w:t>This document aligns with SOX requirements and supports APAC data residency expectations.</w:t>
      </w:r>
    </w:p>
    <w:p>
      <w:pPr>
        <w:pStyle w:val="ListBullet"/>
      </w:pPr>
      <w:r>
        <w:t>The Cloud Infrastructure organization uses Azure to enforce consistent service baselines.</w:t>
      </w:r>
    </w:p>
    <w:p>
      <w:pPr>
        <w:pStyle w:val="ListBullet"/>
      </w:pPr>
      <w:r>
        <w:t>Escalations should follow the on-call rotation with a response target of 15 minutes.</w:t>
      </w:r>
    </w:p>
    <w:p>
      <w:pPr>
        <w:pStyle w:val="ListBullet"/>
      </w:pPr>
      <w:r>
        <w:t>Teams must log requests in Salesforce and track outcomes in Payment Processing Service for audit readiness.</w:t>
      </w:r>
    </w:p>
    <w:p>
      <w:pPr>
        <w:pStyle w:val="Heading1"/>
      </w:pPr>
      <w:r>
        <w:t>Day One</w:t>
      </w:r>
    </w:p>
    <w:p>
      <w:r>
        <w:t>All incidents are tagged with severity and mapped to service tiers. All changes require peer review and validation in the Payment Processing Service before production promotion. Systems are monitored via Azure and alert routing in Salesforce. Risk acceptance must be documented and revalidated each quarter.</w:t>
      </w:r>
    </w:p>
    <w:p>
      <w:r>
        <w:t>All incidents are tagged with severity and mapped to service tiers. Stakeholders include the HR Business Partner, service owner, and compliance lead for approvals.</w:t>
      </w:r>
    </w:p>
    <w:p>
      <w:pPr>
        <w:pStyle w:val="ListBullet"/>
      </w:pPr>
      <w:r>
        <w:t>Audit sampling occurs monthly and is summarized in leadership dashboards.</w:t>
      </w:r>
    </w:p>
    <w:p>
      <w:pPr>
        <w:pStyle w:val="ListBullet"/>
      </w:pPr>
      <w:r>
        <w:t>Evidence artifacts are retained in Salesforce for at least 36 months.</w:t>
      </w:r>
    </w:p>
    <w:p>
      <w:pPr>
        <w:pStyle w:val="ListBullet"/>
      </w:pPr>
      <w:r>
        <w:t>Regional teams in APAC follow the same policy with localized legal review.</w:t>
      </w:r>
    </w:p>
    <w:p>
      <w:pPr>
        <w:pStyle w:val="ListBullet"/>
      </w:pPr>
      <w:r>
        <w:t>All incidents are tagged with severity and mapped to service tiers.</w:t>
      </w:r>
    </w:p>
    <w:p>
      <w:pPr>
        <w:pStyle w:val="Heading1"/>
      </w:pPr>
      <w:r>
        <w:t>Access Provisioning</w:t>
      </w:r>
    </w:p>
    <w:p>
      <w:r>
        <w:t>Stakeholders include the HR Business Partner, service owner, and compliance lead for approvals. All incidents are tagged with severity and mapped to service tiers. The process integrates with Payment Processing Service and depends on Azure for telemetry signals.</w:t>
      </w:r>
    </w:p>
    <w:p>
      <w:pPr>
        <w:pStyle w:val="ListBullet"/>
      </w:pPr>
      <w:r>
        <w:t>Systems are monitored via Azure and alert routing in Salesforce.</w:t>
      </w:r>
    </w:p>
    <w:p>
      <w:pPr>
        <w:pStyle w:val="ListBullet"/>
      </w:pPr>
      <w:r>
        <w:t>The Cloud Infrastructure organization uses Azure to enforce consistent service baselines.</w:t>
      </w:r>
    </w:p>
    <w:p>
      <w:pPr>
        <w:pStyle w:val="ListBullet"/>
      </w:pPr>
      <w:r>
        <w:t>Regional teams in APAC follow the same policy with localized legal review.</w:t>
      </w:r>
    </w:p>
    <w:p>
      <w:pPr>
        <w:pStyle w:val="ListBullet"/>
      </w:pPr>
      <w:r>
        <w:t>Audit sampling occurs monthly and is summarized in leadership dashboards.</w:t>
      </w:r>
    </w:p>
    <w:p>
      <w:pPr>
        <w:pStyle w:val="Heading1"/>
      </w:pPr>
      <w:r>
        <w:t>Training</w:t>
      </w:r>
    </w:p>
    <w:p>
      <w:r>
        <w:t>Stakeholders include the HR Business Partner, service owner, and compliance lead for approvals. Stakeholders include the HR Business Partner, service owner, and compliance lead for approvals.</w:t>
      </w:r>
    </w:p>
    <w:p>
      <w:pPr>
        <w:pStyle w:val="ListBullet"/>
      </w:pPr>
      <w:r>
        <w:t>Teams must log requests in Salesforce and track outcomes in Payment Processing Service for audit readiness.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The process integrates with Payment Processing Service and depends on Azure for telemetry signals.</w:t>
      </w:r>
    </w:p>
    <w:p>
      <w:pPr>
        <w:pStyle w:val="ListBullet"/>
      </w:pPr>
      <w:r>
        <w:t>Teams must log requests in Salesforce and track outcomes in Payment Processing Service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Vendor check</w:t>
            </w:r>
          </w:p>
        </w:tc>
        <w:tc>
          <w:tcPr>
            <w:tcW w:type="dxa" w:w="2880"/>
          </w:tcPr>
          <w:p>
            <w:r>
              <w:t>Security</w:t>
            </w:r>
          </w:p>
        </w:tc>
        <w:tc>
          <w:tcPr>
            <w:tcW w:type="dxa" w:w="2880"/>
          </w:tcPr>
          <w:p>
            <w:r>
              <w:t>Complete</w:t>
            </w:r>
          </w:p>
        </w:tc>
      </w:tr>
      <w:tr>
        <w:tc>
          <w:tcPr>
            <w:tcW w:type="dxa" w:w="2880"/>
          </w:tcPr>
          <w:p>
            <w:r>
              <w:t>Vendor check</w:t>
            </w:r>
          </w:p>
        </w:tc>
        <w:tc>
          <w:tcPr>
            <w:tcW w:type="dxa" w:w="2880"/>
          </w:tcPr>
          <w:p>
            <w:r>
              <w:t>Security</w:t>
            </w:r>
          </w:p>
        </w:tc>
        <w:tc>
          <w:tcPr>
            <w:tcW w:type="dxa" w:w="2880"/>
          </w:tcPr>
          <w:p>
            <w:r>
              <w:t>Complete</w:t>
            </w:r>
          </w:p>
        </w:tc>
      </w:tr>
    </w:tbl>
    <w:p>
      <w:pPr>
        <w:pStyle w:val="Heading1"/>
      </w:pPr>
      <w:r>
        <w:t>Success Metrics</w:t>
      </w:r>
    </w:p>
    <w:p>
      <w:r>
        <w:t>Regional teams in APAC follow the same policy with localized legal review. This document aligns with SOX requirements and supports APAC data residency expectations.</w:t>
      </w:r>
    </w:p>
    <w:p>
      <w:r>
        <w:t>Evidence artifacts are retained in Salesforce for at least 36 months. All changes require peer review and validation in the Payment Processing Service before production promotion.</w:t>
      </w:r>
    </w:p>
    <w:p>
      <w:pPr>
        <w:pStyle w:val="ListBullet"/>
      </w:pPr>
      <w:r>
        <w:t>Regional teams in APAC follow the same policy with localized legal review.</w:t>
      </w:r>
    </w:p>
    <w:p>
      <w:pPr>
        <w:pStyle w:val="ListBullet"/>
      </w:pPr>
      <w:r>
        <w:t>Systems are monitored via Azure and alert routing in Salesforce.</w:t>
      </w:r>
    </w:p>
    <w:p>
      <w:pPr>
        <w:pStyle w:val="ListBullet"/>
      </w:pPr>
      <w:r>
        <w:t>This document aligns with SOX requirements and supports APAC data residency expectations.</w:t>
      </w:r>
    </w:p>
    <w:p>
      <w:pPr>
        <w:pStyle w:val="ListBullet"/>
      </w:pPr>
      <w:r>
        <w:t>Stakeholders include the HR Business Partner,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HR Business Partner</w:t>
            </w:r>
          </w:p>
        </w:tc>
        <w:tc>
          <w:tcPr>
            <w:tcW w:type="dxa" w:w="2880"/>
          </w:tcPr>
          <w:p>
            <w:r>
              <w:t>Planned</w:t>
            </w:r>
          </w:p>
        </w:tc>
      </w:tr>
      <w:tr>
        <w:tc>
          <w:tcPr>
            <w:tcW w:type="dxa" w:w="2880"/>
          </w:tcPr>
          <w:p>
            <w:r>
              <w:t>Backup validation</w:t>
            </w:r>
          </w:p>
        </w:tc>
        <w:tc>
          <w:tcPr>
            <w:tcW w:type="dxa" w:w="2880"/>
          </w:tcPr>
          <w:p>
            <w:r>
              <w:t>Cloud Infrastructure</w:t>
            </w:r>
          </w:p>
        </w:tc>
        <w:tc>
          <w:tcPr>
            <w:tcW w:type="dxa" w:w="2880"/>
          </w:tcPr>
          <w:p>
            <w:r>
              <w:t>In Progress</w:t>
            </w:r>
          </w:p>
        </w:tc>
      </w:tr>
      <w:tr>
        <w:tc>
          <w:tcPr>
            <w:tcW w:type="dxa" w:w="2880"/>
          </w:tcPr>
          <w:p>
            <w:r>
              <w:t>Incident drill</w:t>
            </w:r>
          </w:p>
        </w:tc>
        <w:tc>
          <w:tcPr>
            <w:tcW w:type="dxa" w:w="2880"/>
          </w:tcPr>
          <w:p>
            <w:r>
              <w:t>HR Business Partner</w:t>
            </w:r>
          </w:p>
        </w:tc>
        <w:tc>
          <w:tcPr>
            <w:tcW w:type="dxa" w:w="2880"/>
          </w:tcPr>
          <w:p>
            <w:r>
              <w:t>In Progress</w:t>
            </w:r>
          </w:p>
        </w:tc>
      </w:tr>
      <w:tr>
        <w:tc>
          <w:tcPr>
            <w:tcW w:type="dxa" w:w="2880"/>
          </w:tcPr>
          <w:p>
            <w:r>
              <w:t>Backup validation</w:t>
            </w:r>
          </w:p>
        </w:tc>
        <w:tc>
          <w:tcPr>
            <w:tcW w:type="dxa" w:w="2880"/>
          </w:tcPr>
          <w:p>
            <w:r>
              <w:t>Security</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