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Cloud Infrastructure US v2.1</w:t>
      </w:r>
    </w:p>
    <w:p>
      <w:r>
        <w:t>Department: Cloud Infrastructure</w:t>
      </w:r>
    </w:p>
    <w:p>
      <w:r>
        <w:t>Author: Avery Garcia</w:t>
      </w:r>
    </w:p>
    <w:p>
      <w:r>
        <w:t>Created date: 2024-10-24</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We prioritize customer impact, data integrity, and regulatory alignment. All incidents are tagged with severity and mapped to service tiers. Risk acceptance must be documented and revalidated each quarter.</w:t>
      </w:r>
    </w:p>
    <w:p>
      <w:r>
        <w:t>We prioritize customer impact, data integrity, and regulatory alignment. We prioritize customer impact, data integrity, and regulatory alignment. This document aligns with SOX requirements and supports US data residency expectations. Escalations should follow the on-call rotation with a response target of 60 minutes.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Systems are monitored via Azure and alert routing in Confluence.</w:t>
      </w:r>
    </w:p>
    <w:p>
      <w:pPr>
        <w:pStyle w:val="ListBullet"/>
      </w:pPr>
      <w:r>
        <w:t>The Cloud Infrastructure organization uses Azure to enforce consistent service baselines.</w:t>
      </w:r>
    </w:p>
    <w:p>
      <w:pPr>
        <w:pStyle w:val="Heading1"/>
      </w:pPr>
      <w:r>
        <w:t>Day One</w:t>
      </w:r>
    </w:p>
    <w:p>
      <w:r>
        <w:t>Risk acceptance must be documented and revalidated each quarter. The Cloud Infrastructure organization uses Azure to enforce consistent service baselines. Systems are monitored via Azure and alert routing in Confluence. Teams must log requests in Confluence and track outcomes in Customer Data Lake for audit readiness.</w:t>
      </w:r>
    </w:p>
    <w:p>
      <w:r>
        <w:t>Teams must log requests in Confluence and track outcomes in Customer Data Lake for audit readiness. Escalations should follow the on-call rotation with a response target of 60 minutes.</w:t>
      </w:r>
    </w:p>
    <w:p>
      <w:pPr>
        <w:pStyle w:val="ListBullet"/>
      </w:pPr>
      <w:r>
        <w:t>Regional teams in US follow the same policy with localized legal review.</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Heading1"/>
      </w:pPr>
      <w:r>
        <w:t>Access Provisioning</w:t>
      </w:r>
    </w:p>
    <w:p>
      <w:r>
        <w:t>Systems are monitored via Azure and alert routing in Confluence. Systems are monitored via Azure and alert routing in Confluence.</w:t>
      </w:r>
    </w:p>
    <w:p>
      <w:r>
        <w:t>Risk acceptance must be documented and revalidated each quarter. Teams must log requests in Confluence and track outcomes in Customer Data Lake for audit readiness. Regional teams in US follow the same policy with localized legal review.</w:t>
      </w:r>
    </w:p>
    <w:p>
      <w:pPr>
        <w:pStyle w:val="ListBullet"/>
      </w:pPr>
      <w:r>
        <w:t>Stakeholders include the Support Specialist, service owner, and compliance lead for approvals.</w:t>
      </w:r>
    </w:p>
    <w:p>
      <w:pPr>
        <w:pStyle w:val="ListBullet"/>
      </w:pPr>
      <w:r>
        <w:t>Regional teams in US follow the same policy with localized legal review.</w:t>
      </w:r>
    </w:p>
    <w:p>
      <w:pPr>
        <w:pStyle w:val="ListBullet"/>
      </w:pPr>
      <w:r>
        <w:t>The Cloud Infrastructure team coordinates with Support Specialist to maintain operational readiness.</w:t>
      </w:r>
    </w:p>
    <w:p>
      <w:pPr>
        <w:pStyle w:val="ListBullet"/>
      </w:pPr>
      <w:r>
        <w:t>The Cloud Infrastructure team coordinates with Support Specialist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Operations</w:t>
            </w:r>
          </w:p>
        </w:tc>
        <w:tc>
          <w:tcPr>
            <w:tcW w:type="dxa" w:w="2880"/>
          </w:tcPr>
          <w:p>
            <w:r>
              <w:t>Planned</w:t>
            </w:r>
          </w:p>
        </w:tc>
      </w:tr>
      <w:tr>
        <w:tc>
          <w:tcPr>
            <w:tcW w:type="dxa" w:w="2880"/>
          </w:tcPr>
          <w:p>
            <w:r>
              <w:t>Backup validation</w:t>
            </w:r>
          </w:p>
        </w:tc>
        <w:tc>
          <w:tcPr>
            <w:tcW w:type="dxa" w:w="2880"/>
          </w:tcPr>
          <w:p>
            <w:r>
              <w:t>Support Specialist</w:t>
            </w:r>
          </w:p>
        </w:tc>
        <w:tc>
          <w:tcPr>
            <w:tcW w:type="dxa" w:w="2880"/>
          </w:tcPr>
          <w:p>
            <w:r>
              <w:t>Planned</w:t>
            </w:r>
          </w:p>
        </w:tc>
      </w:tr>
    </w:tbl>
    <w:p>
      <w:pPr>
        <w:pStyle w:val="Heading1"/>
      </w:pPr>
      <w:r>
        <w:t>Training</w:t>
      </w:r>
    </w:p>
    <w:p>
      <w:r>
        <w:t>The Cloud Infrastructure organization uses Azure to enforce consistent service baselines. Escalations should follow the on-call rotation with a response target of 60 minutes.</w:t>
      </w:r>
    </w:p>
    <w:p>
      <w:pPr>
        <w:pStyle w:val="ListBullet"/>
      </w:pPr>
      <w:r>
        <w:t>Systems are monitored via Azure and alert routing in Confluence.</w:t>
      </w:r>
    </w:p>
    <w:p>
      <w:pPr>
        <w:pStyle w:val="ListBullet"/>
      </w:pPr>
      <w:r>
        <w:t>All incidents are tagged with severity and mapped to service tiers.</w:t>
      </w:r>
    </w:p>
    <w:p>
      <w:pPr>
        <w:pStyle w:val="ListBullet"/>
      </w:pPr>
      <w:r>
        <w:t>Teams must log requests in Confluence and track outcomes in Customer Data Lake for audit readiness.</w:t>
      </w:r>
    </w:p>
    <w:p>
      <w:pPr>
        <w:pStyle w:val="ListBullet"/>
      </w:pPr>
      <w:r>
        <w:t>All changes require peer review and validation in the Customer Data Lake before production promotion.</w:t>
      </w:r>
    </w:p>
    <w:p>
      <w:pPr>
        <w:pStyle w:val="Heading1"/>
      </w:pPr>
      <w:r>
        <w:t>Success Metrics</w:t>
      </w:r>
    </w:p>
    <w:p>
      <w:r>
        <w:t>All changes require peer review and validation in the Customer Data Lake before production promotion. Regional teams in US follow the same policy with localized legal review.</w:t>
      </w:r>
    </w:p>
    <w:p>
      <w:r>
        <w:t>Risk acceptance must be documented and revalidated each quarter. Risk acceptance must be documented and revalidated each quarter.</w:t>
      </w:r>
    </w:p>
    <w:p>
      <w:pPr>
        <w:pStyle w:val="ListBullet"/>
      </w:pPr>
      <w:r>
        <w:t>Systems are monitored via Azure and alert routing in Confluence.</w:t>
      </w:r>
    </w:p>
    <w:p>
      <w:pPr>
        <w:pStyle w:val="ListBullet"/>
      </w:pPr>
      <w:r>
        <w:t>The Cloud Infrastructure team coordinates with Support Specialist to maintain operational readiness.</w:t>
      </w:r>
    </w:p>
    <w:p>
      <w:pPr>
        <w:pStyle w:val="ListBullet"/>
      </w:pPr>
      <w:r>
        <w:t>This document aligns with SOX requirements and supports US data residency expectations.</w:t>
      </w:r>
    </w:p>
    <w:p>
      <w:pPr>
        <w:pStyle w:val="ListBullet"/>
      </w:pPr>
      <w:r>
        <w:t>Regional teams in US follow the same policy with localized legal review.</w:t>
      </w:r>
    </w:p>
    <w:p>
      <w:pPr>
        <w:pStyle w:val="ListBullet"/>
      </w:pPr>
      <w:r>
        <w:t>Escalations should follow the on-call rotation with a response target of 60 minutes.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Planned</w:t>
            </w:r>
          </w:p>
        </w:tc>
      </w:tr>
      <w:tr>
        <w:tc>
          <w:tcPr>
            <w:tcW w:type="dxa" w:w="2880"/>
          </w:tcPr>
          <w:p>
            <w:r>
              <w:t>Patch window</w:t>
            </w:r>
          </w:p>
        </w:tc>
        <w:tc>
          <w:tcPr>
            <w:tcW w:type="dxa" w:w="2880"/>
          </w:tcPr>
          <w:p>
            <w:r>
              <w:t>Support Specialist</w:t>
            </w:r>
          </w:p>
        </w:tc>
        <w:tc>
          <w:tcPr>
            <w:tcW w:type="dxa" w:w="2880"/>
          </w:tcPr>
          <w:p>
            <w:r>
              <w:t>In Progress</w:t>
            </w:r>
          </w:p>
        </w:tc>
      </w:tr>
      <w:tr>
        <w:tc>
          <w:tcPr>
            <w:tcW w:type="dxa" w:w="2880"/>
          </w:tcPr>
          <w:p>
            <w:r>
              <w:t>Vendor check</w:t>
            </w:r>
          </w:p>
        </w:tc>
        <w:tc>
          <w:tcPr>
            <w:tcW w:type="dxa" w:w="2880"/>
          </w:tcPr>
          <w:p>
            <w:r>
              <w:t>Security</w:t>
            </w:r>
          </w:p>
        </w:tc>
        <w:tc>
          <w:tcPr>
            <w:tcW w:type="dxa" w:w="2880"/>
          </w:tcPr>
          <w:p>
            <w:r>
              <w:t>Complete</w:t>
            </w:r>
          </w:p>
        </w:tc>
      </w:tr>
      <w:tr>
        <w:tc>
          <w:tcPr>
            <w:tcW w:type="dxa" w:w="2880"/>
          </w:tcPr>
          <w:p>
            <w:r>
              <w:t>Backup validation</w:t>
            </w:r>
          </w:p>
        </w:tc>
        <w:tc>
          <w:tcPr>
            <w:tcW w:type="dxa" w:w="2880"/>
          </w:tcPr>
          <w:p>
            <w:r>
              <w:t>Support Specialist</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