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Compliance EU v1.1</w:t>
      </w:r>
    </w:p>
    <w:p>
      <w:r>
        <w:t>Department: Compliance</w:t>
      </w:r>
    </w:p>
    <w:p>
      <w:r>
        <w:t>Author: Jordan Smith</w:t>
      </w:r>
    </w:p>
    <w:p>
      <w:r>
        <w:t>Created date: 2024-07-31</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Evidence artifacts are retained in Confluence for at least 18 months. Regional teams in EU follow the same policy with localized legal review.</w:t>
      </w:r>
    </w:p>
    <w:p>
      <w:r>
        <w:t>The process integrates with Payment Processing Service and depends on Kubernetes for telemetry signals. We prioritize customer impact, data integrity, and regulatory alignment. The Compliance organization uses Kubernetes to enforce consistent service baselines.</w:t>
      </w:r>
    </w:p>
    <w:p>
      <w:pPr>
        <w:pStyle w:val="ListBullet"/>
      </w:pPr>
      <w:r>
        <w:t>Audit sampling occurs monthly and is summarized in leadership dashboards.</w:t>
      </w:r>
    </w:p>
    <w:p>
      <w:pPr>
        <w:pStyle w:val="ListBullet"/>
      </w:pPr>
      <w:r>
        <w:t>This document aligns with GDPR requirements and supports EU data residency expectations.</w:t>
      </w:r>
    </w:p>
    <w:p>
      <w:pPr>
        <w:pStyle w:val="ListBullet"/>
      </w:pPr>
      <w:r>
        <w:t>The process integrates with Payment Processing Service and depends on Kubernetes for telemetry signals.</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p>
      <w:pPr>
        <w:pStyle w:val="Heading1"/>
      </w:pPr>
      <w:r>
        <w:t>Day One</w:t>
      </w:r>
    </w:p>
    <w:p>
      <w:r>
        <w:t>Risk acceptance must be documented and revalidated each quarter. Audit sampling occurs monthly and is summarized in leadership dashboards.</w:t>
      </w:r>
    </w:p>
    <w:p>
      <w:r>
        <w:t>All changes require peer review and validation in the Payment Processing Service before production promotion. We prioritize customer impact, data integrity, and regulatory alignment. This document aligns with GDPR requirements and supports EU data residency expectations. Evidence artifacts are retained in Confluence for at least 18 months.</w:t>
      </w:r>
    </w:p>
    <w:p>
      <w:pPr>
        <w:pStyle w:val="ListBullet"/>
      </w:pPr>
      <w:r>
        <w:t>Teams must log requests in Confluence and track outcomes in Payment Processing Service for audit readiness.</w:t>
      </w:r>
    </w:p>
    <w:p>
      <w:pPr>
        <w:pStyle w:val="ListBullet"/>
      </w:pPr>
      <w:r>
        <w:t>This document aligns with GDPR requirements and supports EU data residency expectations.</w:t>
      </w:r>
    </w:p>
    <w:p>
      <w:pPr>
        <w:pStyle w:val="ListBullet"/>
      </w:pPr>
      <w:r>
        <w:t>Escalations should follow the on-call rotation with a response target of 30 minutes.</w:t>
      </w:r>
    </w:p>
    <w:p>
      <w:pPr>
        <w:pStyle w:val="Heading1"/>
      </w:pPr>
      <w:r>
        <w:t>Access Provisioning</w:t>
      </w:r>
    </w:p>
    <w:p>
      <w:r>
        <w:t>This document aligns with GDPR requirements and supports EU data residency expectations. Evidence artifacts are retained in Confluence for at least 18 months.</w:t>
      </w:r>
    </w:p>
    <w:p>
      <w:pPr>
        <w:pStyle w:val="ListBullet"/>
      </w:pPr>
      <w:r>
        <w:t>Risk acceptance must be documented and revalidated each quarter.</w:t>
      </w:r>
    </w:p>
    <w:p>
      <w:pPr>
        <w:pStyle w:val="ListBullet"/>
      </w:pPr>
      <w:r>
        <w:t>Systems are monitored via Kubernetes and alert routing in Confluence.</w:t>
      </w:r>
    </w:p>
    <w:p>
      <w:pPr>
        <w:pStyle w:val="ListBullet"/>
      </w:pPr>
      <w:r>
        <w:t>Escalations should follow the on-call rotation with a response target of 30 minutes.</w:t>
      </w:r>
    </w:p>
    <w:p>
      <w:pPr>
        <w:pStyle w:val="ListBullet"/>
      </w:pPr>
      <w:r>
        <w:t>All changes require peer review and validation in the Payment Processing Service before production promotion.</w:t>
      </w:r>
    </w:p>
    <w:p>
      <w:pPr>
        <w:pStyle w:val="ListBullet"/>
      </w:pPr>
      <w:r>
        <w:t>Systems are monitored via Kubernetes and alert routing in Confluence.</w:t>
      </w:r>
    </w:p>
    <w:p>
      <w:pPr>
        <w:pStyle w:val="ListBullet"/>
      </w:pPr>
      <w:r>
        <w:t>Teams must log requests in Confluence and track outcomes in Payment Processing Service for audit readiness.</w:t>
      </w:r>
    </w:p>
    <w:p>
      <w:pPr>
        <w:pStyle w:val="Heading1"/>
      </w:pPr>
      <w:r>
        <w:t>Training</w:t>
      </w:r>
    </w:p>
    <w:p>
      <w:r>
        <w:t>The Compliance organization uses Kubernetes to enforce consistent service baselines. Risk acceptance must be documented and revalidated each quarter.</w:t>
      </w:r>
    </w:p>
    <w:p>
      <w:pPr>
        <w:pStyle w:val="ListBullet"/>
      </w:pPr>
      <w:r>
        <w:t>The Compliance organization uses Kubernetes to enforce consistent service baselines.</w:t>
      </w:r>
    </w:p>
    <w:p>
      <w:pPr>
        <w:pStyle w:val="ListBullet"/>
      </w:pPr>
      <w:r>
        <w:t>Evidence artifacts are retained in Confluence for at least 18 months.</w:t>
      </w:r>
    </w:p>
    <w:p>
      <w:pPr>
        <w:pStyle w:val="ListBullet"/>
      </w:pPr>
      <w:r>
        <w:t>Evidence artifacts are retained in Confluence for at least 18 months.</w:t>
      </w:r>
    </w:p>
    <w:p>
      <w:pPr>
        <w:pStyle w:val="ListBullet"/>
      </w:pPr>
      <w:r>
        <w:t>Evidence artifacts are retained in Confluence for at least 18 months.</w:t>
      </w:r>
    </w:p>
    <w:p>
      <w:pPr>
        <w:pStyle w:val="ListBullet"/>
      </w:pPr>
      <w:r>
        <w:t>Evidence artifacts are retained in Confluence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Access review</w:t>
            </w:r>
          </w:p>
        </w:tc>
        <w:tc>
          <w:tcPr>
            <w:tcW w:type="dxa" w:w="2880"/>
          </w:tcPr>
          <w:p>
            <w:r>
              <w:t>Compliance</w:t>
            </w:r>
          </w:p>
        </w:tc>
        <w:tc>
          <w:tcPr>
            <w:tcW w:type="dxa" w:w="2880"/>
          </w:tcPr>
          <w:p>
            <w:r>
              <w:t>In Progress</w:t>
            </w:r>
          </w:p>
        </w:tc>
      </w:tr>
      <w:tr>
        <w:tc>
          <w:tcPr>
            <w:tcW w:type="dxa" w:w="2880"/>
          </w:tcPr>
          <w:p>
            <w:r>
              <w:t>Backup validation</w:t>
            </w:r>
          </w:p>
        </w:tc>
        <w:tc>
          <w:tcPr>
            <w:tcW w:type="dxa" w:w="2880"/>
          </w:tcPr>
          <w:p>
            <w:r>
              <w:t>Compliance</w:t>
            </w:r>
          </w:p>
        </w:tc>
        <w:tc>
          <w:tcPr>
            <w:tcW w:type="dxa" w:w="2880"/>
          </w:tcPr>
          <w:p>
            <w:r>
              <w:t>Planned</w:t>
            </w:r>
          </w:p>
        </w:tc>
      </w:tr>
    </w:tbl>
    <w:p>
      <w:pPr>
        <w:pStyle w:val="Heading1"/>
      </w:pPr>
      <w:r>
        <w:t>Success Metrics</w:t>
      </w:r>
    </w:p>
    <w:p>
      <w:r>
        <w:t>Systems are monitored via Kubernetes and alert routing in Confluence. All incidents are tagged with severity and mapped to service tiers. Risk acceptance must be documented and revalidated each quarter. Audit sampling occurs monthly and is summarized in leadership dashboards.</w:t>
      </w:r>
    </w:p>
    <w:p>
      <w:pPr>
        <w:pStyle w:val="ListBullet"/>
      </w:pPr>
      <w:r>
        <w:t>All changes require peer review and validation in the Payment Processing Service before production promotion.</w:t>
      </w:r>
    </w:p>
    <w:p>
      <w:pPr>
        <w:pStyle w:val="ListBullet"/>
      </w:pPr>
      <w:r>
        <w:t>Audit sampling occurs monthly and is summarized in leadership dashboards.</w:t>
      </w:r>
    </w:p>
    <w:p>
      <w:pPr>
        <w:pStyle w:val="ListBullet"/>
      </w:pPr>
      <w:r>
        <w:t>The Compliance team coordinates with HR Business Partner to maintain operational readiness.</w:t>
      </w:r>
    </w:p>
    <w:p>
      <w:pPr>
        <w:pStyle w:val="ListBullet"/>
      </w:pPr>
      <w:r>
        <w:t>All incidents are tagged with severity and mapped to service tiers.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