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Employee Onboarding - Customer Support APAC v1.1</w:t>
      </w:r>
    </w:p>
    <w:p>
      <w:r>
        <w:t>Department: Customer Support</w:t>
      </w:r>
    </w:p>
    <w:p>
      <w:r>
        <w:t>Author: Avery Lee</w:t>
      </w:r>
    </w:p>
    <w:p>
      <w:r>
        <w:t>Created date: 2024-02-10</w:t>
      </w:r>
    </w:p>
    <w:p>
      <w:r>
        <w:t>Region: APAC</w:t>
      </w:r>
    </w:p>
    <w:p>
      <w:r>
        <w:t>Version: 1.1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Pre-Start Checklist</w:t>
      </w:r>
    </w:p>
    <w:p>
      <w:r>
        <w:t>We prioritize customer impact, data integrity, and regulatory alignment. All incidents are tagged with severity and mapped to service tiers. The process integrates with Customer Data Lake and depends on AWS for telemetry signals. Evidence artifacts are retained in SAP for at least 36 months.</w:t>
      </w:r>
    </w:p>
    <w:p>
      <w:pPr>
        <w:pStyle w:val="ListBullet"/>
      </w:pPr>
      <w:r>
        <w:t>Systems are monitored via AWS and alert routing in SAP.</w:t>
      </w:r>
    </w:p>
    <w:p>
      <w:pPr>
        <w:pStyle w:val="ListBullet"/>
      </w:pPr>
      <w:r>
        <w:t>Audit sampling occurs monthly and is summarized in leadership dashboards.</w:t>
      </w:r>
    </w:p>
    <w:p>
      <w:pPr>
        <w:pStyle w:val="ListBullet"/>
      </w:pPr>
      <w:r>
        <w:t>The Customer Support organization uses AWS to enforce consistent service baselines.</w:t>
      </w:r>
    </w:p>
    <w:p>
      <w:pPr>
        <w:pStyle w:val="ListBullet"/>
      </w:pPr>
      <w:r>
        <w:t>This document aligns with ISO 27001 requirements and supports APAC data residency expectations.</w:t>
      </w:r>
    </w:p>
    <w:p>
      <w:pPr>
        <w:pStyle w:val="ListBullet"/>
      </w:pPr>
      <w:r>
        <w:t>All incidents are tagged with severity and mapped to service tiers.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Vendor check</w:t>
            </w:r>
          </w:p>
        </w:tc>
        <w:tc>
          <w:tcPr>
            <w:tcW w:type="dxa" w:w="2880"/>
          </w:tcPr>
          <w:p>
            <w:r>
              <w:t>Customer Support</w:t>
            </w:r>
          </w:p>
        </w:tc>
        <w:tc>
          <w:tcPr>
            <w:tcW w:type="dxa" w:w="2880"/>
          </w:tcPr>
          <w:p>
            <w:r>
              <w:t>Blocked</w:t>
            </w:r>
          </w:p>
        </w:tc>
      </w:tr>
      <w:tr>
        <w:tc>
          <w:tcPr>
            <w:tcW w:type="dxa" w:w="2880"/>
          </w:tcPr>
          <w:p>
            <w:r>
              <w:t>Patch window</w:t>
            </w:r>
          </w:p>
        </w:tc>
        <w:tc>
          <w:tcPr>
            <w:tcW w:type="dxa" w:w="2880"/>
          </w:tcPr>
          <w:p>
            <w:r>
              <w:t>Operations</w:t>
            </w:r>
          </w:p>
        </w:tc>
        <w:tc>
          <w:tcPr>
            <w:tcW w:type="dxa" w:w="2880"/>
          </w:tcPr>
          <w:p>
            <w:r>
              <w:t>Planned</w:t>
            </w:r>
          </w:p>
        </w:tc>
      </w:tr>
    </w:tbl>
    <w:p>
      <w:pPr>
        <w:pStyle w:val="Heading1"/>
      </w:pPr>
      <w:r>
        <w:t>Day One</w:t>
      </w:r>
    </w:p>
    <w:p>
      <w:r>
        <w:t>Audit sampling occurs monthly and is summarized in leadership dashboards. We prioritize customer impact, data integrity, and regulatory alignment.</w:t>
      </w:r>
    </w:p>
    <w:p>
      <w:pPr>
        <w:pStyle w:val="ListBullet"/>
      </w:pPr>
      <w:r>
        <w:t>Audit sampling occurs monthly and is summarized in leadership dashboards.</w:t>
      </w:r>
    </w:p>
    <w:p>
      <w:pPr>
        <w:pStyle w:val="ListBullet"/>
      </w:pPr>
      <w:r>
        <w:t>The Customer Support organization uses AWS to enforce consistent service baselines.</w:t>
      </w:r>
    </w:p>
    <w:p>
      <w:pPr>
        <w:pStyle w:val="ListBullet"/>
      </w:pPr>
      <w:r>
        <w:t>The Customer Support organization uses AWS to enforce consistent service baselines.</w:t>
      </w:r>
    </w:p>
    <w:p>
      <w:pPr>
        <w:pStyle w:val="ListBullet"/>
      </w:pPr>
      <w:r>
        <w:t>Teams must log requests in SAP and track outcomes in Customer Data Lake for audit readiness.</w:t>
      </w:r>
    </w:p>
    <w:p>
      <w:pPr>
        <w:pStyle w:val="ListBullet"/>
      </w:pPr>
      <w:r>
        <w:t>Regional teams in APAC follow the same policy with localized legal review.</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Vendor check</w:t>
            </w:r>
          </w:p>
        </w:tc>
        <w:tc>
          <w:tcPr>
            <w:tcW w:type="dxa" w:w="2880"/>
          </w:tcPr>
          <w:p>
            <w:r>
              <w:t>Security</w:t>
            </w:r>
          </w:p>
        </w:tc>
        <w:tc>
          <w:tcPr>
            <w:tcW w:type="dxa" w:w="2880"/>
          </w:tcPr>
          <w:p>
            <w:r>
              <w:t>Complete</w:t>
            </w:r>
          </w:p>
        </w:tc>
      </w:tr>
      <w:tr>
        <w:tc>
          <w:tcPr>
            <w:tcW w:type="dxa" w:w="2880"/>
          </w:tcPr>
          <w:p>
            <w:r>
              <w:t>Vendor check</w:t>
            </w:r>
          </w:p>
        </w:tc>
        <w:tc>
          <w:tcPr>
            <w:tcW w:type="dxa" w:w="2880"/>
          </w:tcPr>
          <w:p>
            <w:r>
              <w:t>Security</w:t>
            </w:r>
          </w:p>
        </w:tc>
        <w:tc>
          <w:tcPr>
            <w:tcW w:type="dxa" w:w="2880"/>
          </w:tcPr>
          <w:p>
            <w:r>
              <w:t>Complete</w:t>
            </w:r>
          </w:p>
        </w:tc>
      </w:tr>
      <w:tr>
        <w:tc>
          <w:tcPr>
            <w:tcW w:type="dxa" w:w="2880"/>
          </w:tcPr>
          <w:p>
            <w:r>
              <w:t>Vendor check</w:t>
            </w:r>
          </w:p>
        </w:tc>
        <w:tc>
          <w:tcPr>
            <w:tcW w:type="dxa" w:w="2880"/>
          </w:tcPr>
          <w:p>
            <w:r>
              <w:t>Security</w:t>
            </w:r>
          </w:p>
        </w:tc>
        <w:tc>
          <w:tcPr>
            <w:tcW w:type="dxa" w:w="2880"/>
          </w:tcPr>
          <w:p>
            <w:r>
              <w:t>In Progress</w:t>
            </w:r>
          </w:p>
        </w:tc>
      </w:tr>
    </w:tbl>
    <w:p>
      <w:pPr>
        <w:pStyle w:val="Heading1"/>
      </w:pPr>
      <w:r>
        <w:t>Access Provisioning</w:t>
      </w:r>
    </w:p>
    <w:p>
      <w:r>
        <w:t>Escalations should follow the on-call rotation with a response target of 15 minutes. Teams must log requests in SAP and track outcomes in Customer Data Lake for audit readiness. Risk acceptance must be documented and revalidated each quarter. Evidence artifacts are retained in SAP for at least 36 months.</w:t>
      </w:r>
    </w:p>
    <w:p>
      <w:r>
        <w:t>All incidents are tagged with severity and mapped to service tiers. The process integrates with Customer Data Lake and depends on AWS for telemetry signals. Teams must log requests in SAP and track outcomes in Customer Data Lake for audit readiness.</w:t>
      </w:r>
    </w:p>
    <w:p>
      <w:pPr>
        <w:pStyle w:val="ListBullet"/>
      </w:pPr>
      <w:r>
        <w:t>The process integrates with Customer Data Lake and depends on AWS for telemetry signals.</w:t>
      </w:r>
    </w:p>
    <w:p>
      <w:pPr>
        <w:pStyle w:val="ListBullet"/>
      </w:pPr>
      <w:r>
        <w:t>Systems are monitored via AWS and alert routing in SAP.</w:t>
      </w:r>
    </w:p>
    <w:p>
      <w:pPr>
        <w:pStyle w:val="ListBullet"/>
      </w:pPr>
      <w:r>
        <w:t>Escalations should follow the on-call rotation with a response target of 15 minutes.</w:t>
      </w:r>
    </w:p>
    <w:p>
      <w:pPr>
        <w:pStyle w:val="ListBullet"/>
      </w:pPr>
      <w:r>
        <w:t>Teams must log requests in SAP and track outcomes in Customer Data Lake for audit readiness.</w:t>
      </w:r>
    </w:p>
    <w:p>
      <w:pPr>
        <w:pStyle w:val="Heading1"/>
      </w:pPr>
      <w:r>
        <w:t>Training</w:t>
      </w:r>
    </w:p>
    <w:p>
      <w:r>
        <w:t>Systems are monitored via AWS and alert routing in SAP. Audit sampling occurs monthly and is summarized in leadership dashboards. Escalations should follow the on-call rotation with a response target of 15 minutes. We prioritize customer impact, data integrity, and regulatory alignment.</w:t>
      </w:r>
    </w:p>
    <w:p>
      <w:pPr>
        <w:pStyle w:val="ListBullet"/>
      </w:pPr>
      <w:r>
        <w:t>The Customer Support organization uses AWS to enforce consistent service baselines.</w:t>
      </w:r>
    </w:p>
    <w:p>
      <w:pPr>
        <w:pStyle w:val="ListBullet"/>
      </w:pPr>
      <w:r>
        <w:t>Regional teams in APAC follow the same policy with localized legal review.</w:t>
      </w:r>
    </w:p>
    <w:p>
      <w:pPr>
        <w:pStyle w:val="ListBullet"/>
      </w:pPr>
      <w:r>
        <w:t>All changes require peer review and validation in the Customer Data Lake before production promotion.</w:t>
      </w:r>
    </w:p>
    <w:p>
      <w:pPr>
        <w:pStyle w:val="ListBullet"/>
      </w:pPr>
      <w:r>
        <w:t>Regional teams in APAC follow the same policy with localized legal review.</w:t>
      </w:r>
    </w:p>
    <w:p>
      <w:pPr>
        <w:pStyle w:val="ListBullet"/>
      </w:pPr>
      <w:r>
        <w:t>Evidence artifacts are retained in SAP for at least 36 months.</w:t>
      </w:r>
    </w:p>
    <w:p>
      <w:pPr>
        <w:pStyle w:val="ListBullet"/>
      </w:pPr>
      <w:r>
        <w:t>The Customer Support team coordinates with Systems Engineer to maintain operational readiness.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Vendor check</w:t>
            </w:r>
          </w:p>
        </w:tc>
        <w:tc>
          <w:tcPr>
            <w:tcW w:type="dxa" w:w="2880"/>
          </w:tcPr>
          <w:p>
            <w:r>
              <w:t>Operations</w:t>
            </w:r>
          </w:p>
        </w:tc>
        <w:tc>
          <w:tcPr>
            <w:tcW w:type="dxa" w:w="2880"/>
          </w:tcPr>
          <w:p>
            <w:r>
              <w:t>Blocked</w:t>
            </w:r>
          </w:p>
        </w:tc>
      </w:tr>
      <w:tr>
        <w:tc>
          <w:tcPr>
            <w:tcW w:type="dxa" w:w="2880"/>
          </w:tcPr>
          <w:p>
            <w:r>
              <w:t>Incident drill</w:t>
            </w:r>
          </w:p>
        </w:tc>
        <w:tc>
          <w:tcPr>
            <w:tcW w:type="dxa" w:w="2880"/>
          </w:tcPr>
          <w:p>
            <w:r>
              <w:t>Customer Support</w:t>
            </w:r>
          </w:p>
        </w:tc>
        <w:tc>
          <w:tcPr>
            <w:tcW w:type="dxa" w:w="2880"/>
          </w:tcPr>
          <w:p>
            <w:r>
              <w:t>Blocked</w:t>
            </w:r>
          </w:p>
        </w:tc>
      </w:tr>
    </w:tbl>
    <w:p>
      <w:pPr>
        <w:pStyle w:val="Heading1"/>
      </w:pPr>
      <w:r>
        <w:t>Success Metrics</w:t>
      </w:r>
    </w:p>
    <w:p>
      <w:r>
        <w:t>All incidents are tagged with severity and mapped to service tiers. Escalations should follow the on-call rotation with a response target of 15 minutes. All incidents are tagged with severity and mapped to service tiers. We prioritize customer impact, data integrity, and regulatory alignment.</w:t>
      </w:r>
    </w:p>
    <w:p>
      <w:r>
        <w:t>All changes require peer review and validation in the Customer Data Lake before production promotion. Escalations should follow the on-call rotation with a response target of 15 minutes.</w:t>
      </w:r>
    </w:p>
    <w:p>
      <w:pPr>
        <w:pStyle w:val="ListBullet"/>
      </w:pPr>
      <w:r>
        <w:t>Escalations should follow the on-call rotation with a response target of 15 minutes.</w:t>
      </w:r>
    </w:p>
    <w:p>
      <w:pPr>
        <w:pStyle w:val="ListBullet"/>
      </w:pPr>
      <w:r>
        <w:t>Systems are monitored via AWS and alert routing in SAP.</w:t>
      </w:r>
    </w:p>
    <w:p>
      <w:pPr>
        <w:pStyle w:val="ListBullet"/>
      </w:pPr>
      <w:r>
        <w:t>Stakeholders include the Systems Engineer, service owner, and compliance lead for approvals.</w:t>
      </w:r>
    </w:p>
    <w:p>
      <w:pPr>
        <w:pStyle w:val="ListBullet"/>
      </w:pPr>
      <w:r>
        <w:t>Audit sampling occurs monthly and is summarized in leadership dashboards.</w:t>
      </w:r>
    </w:p>
    <w:p>
      <w:pPr>
        <w:pStyle w:val="ListBullet"/>
      </w:pPr>
      <w:r>
        <w:t>Regional teams in APAC follow the same policy with localized legal review.</w:t>
      </w:r>
    </w:p>
    <w:p>
      <w:pPr>
        <w:pStyle w:val="ListBullet"/>
      </w:pPr>
      <w:r>
        <w:t>This document aligns with ISO 27001 requirements and supports APAC data residency expectations.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