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Onboarding - Data Platform EU v2.1</w:t>
      </w:r>
    </w:p>
    <w:p>
      <w:r>
        <w:t>Department: Data Platform</w:t>
      </w:r>
    </w:p>
    <w:p>
      <w:r>
        <w:t>Author: Alex Brown</w:t>
      </w:r>
    </w:p>
    <w:p>
      <w:r>
        <w:t>Created date: 2025-07-03</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Pre-Start Checklist</w:t>
      </w:r>
    </w:p>
    <w:p>
      <w:r>
        <w:t>Systems are monitored via Kafka and alert routing in Salesforce. All incidents are tagged with severity and mapped to service tiers. The process integrates with Document Repository and depends on Kafka for telemetry signals. Risk acceptance must be documented and revalidated each quarter.</w:t>
      </w:r>
    </w:p>
    <w:p>
      <w:r>
        <w:t>Audit sampling occurs monthly and is summarized in leadership dashboards. The Data Platform organization uses Kafka to enforce consistent service baselines. Stakeholders include the Systems Engineer, service owner, and compliance lead for approvals. Evidence artifacts are retained in Salesforce for at least 36 months.</w:t>
      </w:r>
    </w:p>
    <w:p>
      <w:pPr>
        <w:pStyle w:val="ListBullet"/>
      </w:pPr>
      <w:r>
        <w:t>The Data Platform organization uses Kafka to enforce consistent service baselines.</w:t>
      </w:r>
    </w:p>
    <w:p>
      <w:pPr>
        <w:pStyle w:val="ListBullet"/>
      </w:pPr>
      <w:r>
        <w:t>The Data Platform organization uses Kafka to enforce consistent service baselines.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Risk acceptance must be documented and revalidated each quarter.</w:t>
      </w:r>
    </w:p>
    <w:p>
      <w:pPr>
        <w:pStyle w:val="Heading1"/>
      </w:pPr>
      <w:r>
        <w:t>Day One</w:t>
      </w:r>
    </w:p>
    <w:p>
      <w:r>
        <w:t>All incidents are tagged with severity and mapped to service tiers. We prioritize customer impact, data integrity, and regulatory alignment.</w:t>
      </w:r>
    </w:p>
    <w:p>
      <w:r>
        <w:t>All changes require peer review and validation in the Document Repository before production promotion. This document aligns with SOX requirements and supports EU data residency expectations. Teams must log requests in Salesforce and track outcomes in Document Repository for audit readiness.</w:t>
      </w:r>
    </w:p>
    <w:p>
      <w:pPr>
        <w:pStyle w:val="ListBullet"/>
      </w:pPr>
      <w:r>
        <w:t>The process integrates with Document Repository and depends on Kafka for telemetry signals.</w:t>
      </w:r>
    </w:p>
    <w:p>
      <w:pPr>
        <w:pStyle w:val="ListBullet"/>
      </w:pPr>
      <w:r>
        <w:t>Teams must log requests in Salesforce and track outcomes in Document Repository for audit readiness.</w:t>
      </w:r>
    </w:p>
    <w:p>
      <w:pPr>
        <w:pStyle w:val="ListBullet"/>
      </w:pPr>
      <w:r>
        <w:t>All incidents are tagged with severity and mapped to service tiers.</w:t>
      </w:r>
    </w:p>
    <w:p>
      <w:pPr>
        <w:pStyle w:val="Heading1"/>
      </w:pPr>
      <w:r>
        <w:t>Access Provisioning</w:t>
      </w:r>
    </w:p>
    <w:p>
      <w:r>
        <w:t>Risk acceptance must be documented and revalidated each quarter. Teams must log requests in Salesforce and track outcomes in Document Repository for audit readiness.</w:t>
      </w:r>
    </w:p>
    <w:p>
      <w:pPr>
        <w:pStyle w:val="ListBullet"/>
      </w:pPr>
      <w:r>
        <w:t>Escalations should follow the on-call rotation with a response target of 45 minutes.</w:t>
      </w:r>
    </w:p>
    <w:p>
      <w:pPr>
        <w:pStyle w:val="ListBullet"/>
      </w:pPr>
      <w:r>
        <w:t>Regional teams in EU follow the same policy with localized legal review.</w:t>
      </w:r>
    </w:p>
    <w:p>
      <w:pPr>
        <w:pStyle w:val="ListBullet"/>
      </w:pPr>
      <w:r>
        <w:t>Escalations should follow the on-call rotation with a response target of 45 minutes.</w:t>
      </w:r>
    </w:p>
    <w:p>
      <w:pPr>
        <w:pStyle w:val="ListBullet"/>
      </w:pPr>
      <w:r>
        <w:t>Evidence artifacts are retained in Salesforce for at least 36 months.</w:t>
      </w:r>
    </w:p>
    <w:p>
      <w:pPr>
        <w:pStyle w:val="ListBullet"/>
      </w:pPr>
      <w:r>
        <w:t>Audit sampling occurs monthly and is summarized in leadership dashboards.</w:t>
      </w:r>
    </w:p>
    <w:p>
      <w:pPr>
        <w:pStyle w:val="Heading1"/>
      </w:pPr>
      <w:r>
        <w:t>Training</w:t>
      </w:r>
    </w:p>
    <w:p>
      <w:r>
        <w:t>Escalations should follow the on-call rotation with a response target of 45 minutes. All incidents are tagged with severity and mapped to service tiers. Risk acceptance must be documented and revalidated each quarter. This document aligns with SOX requirements and supports EU data residency expectations.</w:t>
      </w:r>
    </w:p>
    <w:p>
      <w:pPr>
        <w:pStyle w:val="ListBullet"/>
      </w:pPr>
      <w:r>
        <w:t>Stakeholders include the Systems Engineer, service owner, and compliance lead for approvals.</w:t>
      </w:r>
    </w:p>
    <w:p>
      <w:pPr>
        <w:pStyle w:val="ListBullet"/>
      </w:pPr>
      <w:r>
        <w:t>Systems are monitored via Kafka and alert routing in Salesforce.</w:t>
      </w:r>
    </w:p>
    <w:p>
      <w:pPr>
        <w:pStyle w:val="ListBullet"/>
      </w:pPr>
      <w:r>
        <w:t>The Data Platform organization uses Kafka to enforce consistent service baselines.</w:t>
      </w:r>
    </w:p>
    <w:p>
      <w:pPr>
        <w:pStyle w:val="ListBullet"/>
      </w:pPr>
      <w:r>
        <w:t>Regional teams in EU follow the same policy with localized legal review.</w:t>
      </w:r>
    </w:p>
    <w:p>
      <w:pPr>
        <w:pStyle w:val="ListBullet"/>
      </w:pPr>
      <w:r>
        <w:t>Teams must log requests in Salesforce and track outcomes in Document Repository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Operations</w:t>
            </w:r>
          </w:p>
        </w:tc>
        <w:tc>
          <w:tcPr>
            <w:tcW w:type="dxa" w:w="2880"/>
          </w:tcPr>
          <w:p>
            <w:r>
              <w:t>In Progress</w:t>
            </w:r>
          </w:p>
        </w:tc>
      </w:tr>
      <w:tr>
        <w:tc>
          <w:tcPr>
            <w:tcW w:type="dxa" w:w="2880"/>
          </w:tcPr>
          <w:p>
            <w:r>
              <w:t>Vendor check</w:t>
            </w:r>
          </w:p>
        </w:tc>
        <w:tc>
          <w:tcPr>
            <w:tcW w:type="dxa" w:w="2880"/>
          </w:tcPr>
          <w:p>
            <w:r>
              <w:t>Security</w:t>
            </w:r>
          </w:p>
        </w:tc>
        <w:tc>
          <w:tcPr>
            <w:tcW w:type="dxa" w:w="2880"/>
          </w:tcPr>
          <w:p>
            <w:r>
              <w:t>Blocked</w:t>
            </w:r>
          </w:p>
        </w:tc>
      </w:tr>
      <w:tr>
        <w:tc>
          <w:tcPr>
            <w:tcW w:type="dxa" w:w="2880"/>
          </w:tcPr>
          <w:p>
            <w:r>
              <w:t>Patch window</w:t>
            </w:r>
          </w:p>
        </w:tc>
        <w:tc>
          <w:tcPr>
            <w:tcW w:type="dxa" w:w="2880"/>
          </w:tcPr>
          <w:p>
            <w:r>
              <w:t>Systems Engineer</w:t>
            </w:r>
          </w:p>
        </w:tc>
        <w:tc>
          <w:tcPr>
            <w:tcW w:type="dxa" w:w="2880"/>
          </w:tcPr>
          <w:p>
            <w:r>
              <w:t>In Progress</w:t>
            </w:r>
          </w:p>
        </w:tc>
      </w:tr>
      <w:tr>
        <w:tc>
          <w:tcPr>
            <w:tcW w:type="dxa" w:w="2880"/>
          </w:tcPr>
          <w:p>
            <w:r>
              <w:t>Access review</w:t>
            </w:r>
          </w:p>
        </w:tc>
        <w:tc>
          <w:tcPr>
            <w:tcW w:type="dxa" w:w="2880"/>
          </w:tcPr>
          <w:p>
            <w:r>
              <w:t>Security</w:t>
            </w:r>
          </w:p>
        </w:tc>
        <w:tc>
          <w:tcPr>
            <w:tcW w:type="dxa" w:w="2880"/>
          </w:tcPr>
          <w:p>
            <w:r>
              <w:t>Planned</w:t>
            </w:r>
          </w:p>
        </w:tc>
      </w:tr>
    </w:tbl>
    <w:p>
      <w:pPr>
        <w:pStyle w:val="Heading1"/>
      </w:pPr>
      <w:r>
        <w:t>Success Metrics</w:t>
      </w:r>
    </w:p>
    <w:p>
      <w:r>
        <w:t>Audit sampling occurs monthly and is summarized in leadership dashboards. We prioritize customer impact, data integrity, and regulatory alignment. Evidence artifacts are retained in Salesforce for at least 36 months.</w:t>
      </w:r>
    </w:p>
    <w:p>
      <w:pPr>
        <w:pStyle w:val="ListBullet"/>
      </w:pPr>
      <w:r>
        <w:t>This document aligns with SOX requirements and supports EU data residency expectations.</w:t>
      </w:r>
    </w:p>
    <w:p>
      <w:pPr>
        <w:pStyle w:val="ListBullet"/>
      </w:pPr>
      <w:r>
        <w:t>All changes require peer review and validation in the Document Repository before production promotion.</w:t>
      </w:r>
    </w:p>
    <w:p>
      <w:pPr>
        <w:pStyle w:val="ListBullet"/>
      </w:pPr>
      <w:r>
        <w:t>Stakeholders include the Systems Engineer, service owner, and compliance lead for approvals.</w:t>
      </w:r>
    </w:p>
    <w:p>
      <w:pPr>
        <w:pStyle w:val="ListBullet"/>
      </w:pPr>
      <w:r>
        <w:t>We prioritize customer impact, data integrity, and regulatory alignment.</w:t>
      </w:r>
    </w:p>
    <w:p>
      <w:pPr>
        <w:pStyle w:val="ListBullet"/>
      </w:pPr>
      <w:r>
        <w:t>Systems are monitored via Kafka and alert routing in Salesforce.</w:t>
      </w:r>
    </w:p>
    <w:p>
      <w:pPr>
        <w:pStyle w:val="ListBullet"/>
      </w:pPr>
      <w:r>
        <w:t>This document aligns with SOX requirements and supports EU data residency expectations.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