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Engineering EU v1.1</w:t>
      </w:r>
    </w:p>
    <w:p>
      <w:r>
        <w:t>Department: Engineering</w:t>
      </w:r>
    </w:p>
    <w:p>
      <w:r>
        <w:t>Author: Riley Patel</w:t>
      </w:r>
    </w:p>
    <w:p>
      <w:r>
        <w:t>Created date: 2024-07-31</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We prioritize customer impact, data integrity, and regulatory alignment. Systems are monitored via AWS and alert routing in Microsoft 365.</w:t>
      </w:r>
    </w:p>
    <w:p>
      <w:pPr>
        <w:pStyle w:val="ListBullet"/>
      </w:pPr>
      <w:r>
        <w:t>The Engineering team coordinates with SRE to maintain operational readiness.</w:t>
      </w:r>
    </w:p>
    <w:p>
      <w:pPr>
        <w:pStyle w:val="ListBullet"/>
      </w:pPr>
      <w:r>
        <w:t>Evidence artifacts are retained in Microsoft 365 for at least 18 months.</w:t>
      </w:r>
    </w:p>
    <w:p>
      <w:pPr>
        <w:pStyle w:val="ListBullet"/>
      </w:pPr>
      <w:r>
        <w:t>Evidence artifacts are retained in Microsoft 365 for at least 18 months.</w:t>
      </w:r>
    </w:p>
    <w:p>
      <w:pPr>
        <w:pStyle w:val="Heading1"/>
      </w:pPr>
      <w:r>
        <w:t>Day One</w:t>
      </w:r>
    </w:p>
    <w:p>
      <w:r>
        <w:t>Systems are monitored via AWS and alert routing in Microsoft 365. Escalations should follow the on-call rotation with a response target of 60 minutes.</w:t>
      </w:r>
    </w:p>
    <w:p>
      <w:r>
        <w:t>Escalations should follow the on-call rotation with a response target of 60 minutes. Escalations should follow the on-call rotation with a response target of 60 minutes. All incidents are tagged with severity and mapped to service tiers. The Engineering organization uses AWS to enforce consistent service baselines.</w:t>
      </w:r>
    </w:p>
    <w:p>
      <w:pPr>
        <w:pStyle w:val="ListBullet"/>
      </w:pPr>
      <w:r>
        <w:t>All changes require peer review and validation in the CRM Platform before production promotion.</w:t>
      </w:r>
    </w:p>
    <w:p>
      <w:pPr>
        <w:pStyle w:val="ListBullet"/>
      </w:pPr>
      <w:r>
        <w:t>The Engineering organization uses AWS to enforce consistent service baselines.</w:t>
      </w:r>
    </w:p>
    <w:p>
      <w:pPr>
        <w:pStyle w:val="ListBullet"/>
      </w:pPr>
      <w:r>
        <w:t>Systems are monitored via AWS and alert routing in Microsoft 365.</w:t>
      </w:r>
    </w:p>
    <w:p>
      <w:pPr>
        <w:pStyle w:val="Heading1"/>
      </w:pPr>
      <w:r>
        <w:t>Access Provisioning</w:t>
      </w:r>
    </w:p>
    <w:p>
      <w:r>
        <w:t>The Engineering organization uses AWS to enforce consistent service baselines. All incidents are tagged with severity and mapped to service tiers. The process integrates with CRM Platform and depends on AWS for telemetry signals. The process integrates with CRM Platform and depends on AWS for telemetry signals.</w:t>
      </w:r>
    </w:p>
    <w:p>
      <w:r>
        <w:t>The Engineering team coordinates with SRE to maintain operational readiness. This document aligns with HIPAA requirements and supports EU data residency expectations. All incidents are tagged with severity and mapped to service tiers. This document aligns with HIPAA requirements and supports EU data residency expectations.</w:t>
      </w:r>
    </w:p>
    <w:p>
      <w:pPr>
        <w:pStyle w:val="ListBullet"/>
      </w:pPr>
      <w:r>
        <w:t>The Engineering team coordinates with SRE to maintain operational readiness.</w:t>
      </w:r>
    </w:p>
    <w:p>
      <w:pPr>
        <w:pStyle w:val="ListBullet"/>
      </w:pPr>
      <w:r>
        <w:t>Risk acceptance must be documented and revalidated each quarter.</w:t>
      </w:r>
    </w:p>
    <w:p>
      <w:pPr>
        <w:pStyle w:val="ListBullet"/>
      </w:pPr>
      <w:r>
        <w:t>All incidents are tagged with severity and mapped to service tiers.</w:t>
      </w:r>
    </w:p>
    <w:p>
      <w:pPr>
        <w:pStyle w:val="ListBullet"/>
      </w:pPr>
      <w:r>
        <w:t>Stakeholders include the SRE,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Engineering</w:t>
            </w:r>
          </w:p>
        </w:tc>
        <w:tc>
          <w:tcPr>
            <w:tcW w:type="dxa" w:w="2880"/>
          </w:tcPr>
          <w:p>
            <w:r>
              <w:t>Planned</w:t>
            </w:r>
          </w:p>
        </w:tc>
      </w:tr>
      <w:tr>
        <w:tc>
          <w:tcPr>
            <w:tcW w:type="dxa" w:w="2880"/>
          </w:tcPr>
          <w:p>
            <w:r>
              <w:t>Incident drill</w:t>
            </w:r>
          </w:p>
        </w:tc>
        <w:tc>
          <w:tcPr>
            <w:tcW w:type="dxa" w:w="2880"/>
          </w:tcPr>
          <w:p>
            <w:r>
              <w:t>Operations</w:t>
            </w:r>
          </w:p>
        </w:tc>
        <w:tc>
          <w:tcPr>
            <w:tcW w:type="dxa" w:w="2880"/>
          </w:tcPr>
          <w:p>
            <w:r>
              <w:t>Complete</w:t>
            </w:r>
          </w:p>
        </w:tc>
      </w:tr>
      <w:tr>
        <w:tc>
          <w:tcPr>
            <w:tcW w:type="dxa" w:w="2880"/>
          </w:tcPr>
          <w:p>
            <w:r>
              <w:t>Incident drill</w:t>
            </w:r>
          </w:p>
        </w:tc>
        <w:tc>
          <w:tcPr>
            <w:tcW w:type="dxa" w:w="2880"/>
          </w:tcPr>
          <w:p>
            <w:r>
              <w:t>Engineering</w:t>
            </w:r>
          </w:p>
        </w:tc>
        <w:tc>
          <w:tcPr>
            <w:tcW w:type="dxa" w:w="2880"/>
          </w:tcPr>
          <w:p>
            <w:r>
              <w:t>In Progress</w:t>
            </w:r>
          </w:p>
        </w:tc>
      </w:tr>
    </w:tbl>
    <w:p>
      <w:pPr>
        <w:pStyle w:val="Heading1"/>
      </w:pPr>
      <w:r>
        <w:t>Training</w:t>
      </w:r>
    </w:p>
    <w:p>
      <w:r>
        <w:t>Stakeholders include the SRE, service owner, and compliance lead for approvals. Regional teams in EU follow the same policy with localized legal review. The Engineering organization uses AWS to enforce consistent service baselines.</w:t>
      </w:r>
    </w:p>
    <w:p>
      <w:r>
        <w:t>Evidence artifacts are retained in Microsoft 365 for at least 18 months. All changes require peer review and validation in the CRM Platform before production promotion. The Engineering organization uses AWS to enforce consistent service baselines. Audit sampling occurs monthly and is summarized in leadership dashboards.</w:t>
      </w:r>
    </w:p>
    <w:p>
      <w:pPr>
        <w:pStyle w:val="ListBullet"/>
      </w:pPr>
      <w:r>
        <w:t>All changes require peer review and validation in the CRM Platform before production promotion.</w:t>
      </w:r>
    </w:p>
    <w:p>
      <w:pPr>
        <w:pStyle w:val="ListBullet"/>
      </w:pPr>
      <w:r>
        <w:t>The Engineering team coordinates with SRE to maintain operational readiness.</w:t>
      </w:r>
    </w:p>
    <w:p>
      <w:pPr>
        <w:pStyle w:val="ListBullet"/>
      </w:pPr>
      <w:r>
        <w:t>Systems are monitored via AWS and alert routing in Microsoft 365.</w:t>
      </w:r>
    </w:p>
    <w:p>
      <w:pPr>
        <w:pStyle w:val="ListBullet"/>
      </w:pPr>
      <w:r>
        <w:t>Audit sampling occurs monthly and is summarized in leadership dashboards.</w:t>
      </w:r>
    </w:p>
    <w:p>
      <w:pPr>
        <w:pStyle w:val="Heading1"/>
      </w:pPr>
      <w:r>
        <w:t>Success Metrics</w:t>
      </w:r>
    </w:p>
    <w:p>
      <w:r>
        <w:t>Teams must log requests in Microsoft 365 and track outcomes in CRM Platform for audit readiness. Stakeholders include the SRE, service owner, and compliance lead for approvals. Audit sampling occurs monthly and is summarized in leadership dashboards.</w:t>
      </w:r>
    </w:p>
    <w:p>
      <w:r>
        <w:t>The Engineering organization uses AWS to enforce consistent service baselines. Risk acceptance must be documented and revalidated each quarter. Regional teams in EU follow the same policy with localized legal review. Audit sampling occurs monthly and is summarized in leadership dashboards.</w:t>
      </w:r>
    </w:p>
    <w:p>
      <w:pPr>
        <w:pStyle w:val="ListBullet"/>
      </w:pPr>
      <w:r>
        <w:t>Stakeholders include the SRE, service owner, and compliance lead for approvals.</w:t>
      </w:r>
    </w:p>
    <w:p>
      <w:pPr>
        <w:pStyle w:val="ListBullet"/>
      </w:pPr>
      <w:r>
        <w:t>All changes require peer review and validation in the CRM Platform before production promotion.</w:t>
      </w:r>
    </w:p>
    <w:p>
      <w:pPr>
        <w:pStyle w:val="ListBullet"/>
      </w:pPr>
      <w:r>
        <w:t>The process integrates with CRM Platform and depends on AWS for telemetry signals.</w:t>
      </w:r>
    </w:p>
    <w:p>
      <w:pPr>
        <w:pStyle w:val="ListBullet"/>
      </w:pPr>
      <w:r>
        <w:t>Audit sampling occurs monthly and is summarized in leadership dashboards.</w:t>
      </w:r>
    </w:p>
    <w:p>
      <w:pPr>
        <w:pStyle w:val="ListBullet"/>
      </w:pPr>
      <w:r>
        <w:t>Escalations should follow the on-call rotation with a response target of 60 minutes.</w:t>
      </w:r>
    </w:p>
    <w:p>
      <w:pPr>
        <w:pStyle w:val="ListBullet"/>
      </w:pPr>
      <w:r>
        <w:t>The Engineering organization uses AWS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Engineering</w:t>
            </w:r>
          </w:p>
        </w:tc>
        <w:tc>
          <w:tcPr>
            <w:tcW w:type="dxa" w:w="2880"/>
          </w:tcPr>
          <w:p>
            <w:r>
              <w:t>In Progress</w:t>
            </w:r>
          </w:p>
        </w:tc>
      </w:tr>
      <w:tr>
        <w:tc>
          <w:tcPr>
            <w:tcW w:type="dxa" w:w="2880"/>
          </w:tcPr>
          <w:p>
            <w:r>
              <w:t>Vendor check</w:t>
            </w:r>
          </w:p>
        </w:tc>
        <w:tc>
          <w:tcPr>
            <w:tcW w:type="dxa" w:w="2880"/>
          </w:tcPr>
          <w:p>
            <w:r>
              <w:t>Security</w:t>
            </w:r>
          </w:p>
        </w:tc>
        <w:tc>
          <w:tcPr>
            <w:tcW w:type="dxa" w:w="2880"/>
          </w:tcPr>
          <w:p>
            <w:r>
              <w:t>Blocked</w:t>
            </w:r>
          </w:p>
        </w:tc>
      </w:tr>
      <w:tr>
        <w:tc>
          <w:tcPr>
            <w:tcW w:type="dxa" w:w="2880"/>
          </w:tcPr>
          <w:p>
            <w:r>
              <w:t>Access review</w:t>
            </w:r>
          </w:p>
        </w:tc>
        <w:tc>
          <w:tcPr>
            <w:tcW w:type="dxa" w:w="2880"/>
          </w:tcPr>
          <w:p>
            <w:r>
              <w:t>SRE</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