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Onboarding - Engineering US v1.2</w:t>
      </w:r>
    </w:p>
    <w:p>
      <w:r>
        <w:t>Department: Engineering</w:t>
      </w:r>
    </w:p>
    <w:p>
      <w:r>
        <w:t>Author: Taylor Brown</w:t>
      </w:r>
    </w:p>
    <w:p>
      <w:r>
        <w:t>Created date: 2025-03-05</w:t>
      </w:r>
    </w:p>
    <w:p>
      <w:r>
        <w:t>Region: US</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Pre-Start Checklist</w:t>
      </w:r>
    </w:p>
    <w:p>
      <w:r>
        <w:t>The process integrates with CI/CD Pipeline and depends on Okta for telemetry signals. Audit sampling occurs monthly and is summarized in leadership dashboards. Teams must log requests in SAP and track outcomes in CI/CD Pipeline for audit readiness.</w:t>
      </w:r>
    </w:p>
    <w:p>
      <w:pPr>
        <w:pStyle w:val="ListBullet"/>
      </w:pPr>
      <w:r>
        <w:t>Evidence artifacts are retained in SAP for at least 12 months.</w:t>
      </w:r>
    </w:p>
    <w:p>
      <w:pPr>
        <w:pStyle w:val="ListBullet"/>
      </w:pPr>
      <w:r>
        <w:t>Escalations should follow the on-call rotation with a response target of 60 minutes.</w:t>
      </w:r>
    </w:p>
    <w:p>
      <w:pPr>
        <w:pStyle w:val="ListBullet"/>
      </w:pPr>
      <w:r>
        <w:t>Teams must log requests in SAP and track outcomes in CI/CD Pipeline for audit readiness.</w:t>
      </w:r>
    </w:p>
    <w:p>
      <w:pPr>
        <w:pStyle w:val="ListBullet"/>
      </w:pPr>
      <w:r>
        <w:t>Regional teams in US follow the same policy with localized legal review.</w:t>
      </w:r>
    </w:p>
    <w:p>
      <w:pPr>
        <w:pStyle w:val="ListBullet"/>
      </w:pPr>
      <w:r>
        <w:t>Audit sampling occurs monthly and is summarized in leadership dashboards.</w:t>
      </w:r>
    </w:p>
    <w:p>
      <w:pPr>
        <w:pStyle w:val="ListBullet"/>
      </w:pPr>
      <w:r>
        <w:t>This document aligns with SOX requirements and supports US data residency expectations.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Operations</w:t>
            </w:r>
          </w:p>
        </w:tc>
        <w:tc>
          <w:tcPr>
            <w:tcW w:type="dxa" w:w="2880"/>
          </w:tcPr>
          <w:p>
            <w:r>
              <w:t>Complete</w:t>
            </w:r>
          </w:p>
        </w:tc>
      </w:tr>
      <w:tr>
        <w:tc>
          <w:tcPr>
            <w:tcW w:type="dxa" w:w="2880"/>
          </w:tcPr>
          <w:p>
            <w:r>
              <w:t>Patch window</w:t>
            </w:r>
          </w:p>
        </w:tc>
        <w:tc>
          <w:tcPr>
            <w:tcW w:type="dxa" w:w="2880"/>
          </w:tcPr>
          <w:p>
            <w:r>
              <w:t>Operations</w:t>
            </w:r>
          </w:p>
        </w:tc>
        <w:tc>
          <w:tcPr>
            <w:tcW w:type="dxa" w:w="2880"/>
          </w:tcPr>
          <w:p>
            <w:r>
              <w:t>In Progress</w:t>
            </w:r>
          </w:p>
        </w:tc>
      </w:tr>
    </w:tbl>
    <w:p>
      <w:pPr>
        <w:pStyle w:val="Heading1"/>
      </w:pPr>
      <w:r>
        <w:t>Day One</w:t>
      </w:r>
    </w:p>
    <w:p>
      <w:r>
        <w:t>Risk acceptance must be documented and revalidated each quarter. All incidents are tagged with severity and mapped to service tiers.</w:t>
      </w:r>
    </w:p>
    <w:p>
      <w:r>
        <w:t>Teams must log requests in SAP and track outcomes in CI/CD Pipeline for audit readiness. The Engineering organization uses Okta to enforce consistent service baselines.</w:t>
      </w:r>
    </w:p>
    <w:p>
      <w:pPr>
        <w:pStyle w:val="ListBullet"/>
      </w:pPr>
      <w:r>
        <w:t>All changes require peer review and validation in the CI/CD Pipeline before production promotion.</w:t>
      </w:r>
    </w:p>
    <w:p>
      <w:pPr>
        <w:pStyle w:val="ListBullet"/>
      </w:pPr>
      <w:r>
        <w:t>Audit sampling occurs monthly and is summarized in leadership dashboards.</w:t>
      </w:r>
    </w:p>
    <w:p>
      <w:pPr>
        <w:pStyle w:val="ListBullet"/>
      </w:pPr>
      <w:r>
        <w:t>The Engineering team coordinates with Procurement Lead to maintain operational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Operations</w:t>
            </w:r>
          </w:p>
        </w:tc>
        <w:tc>
          <w:tcPr>
            <w:tcW w:type="dxa" w:w="2880"/>
          </w:tcPr>
          <w:p>
            <w:r>
              <w:t>Complete</w:t>
            </w:r>
          </w:p>
        </w:tc>
      </w:tr>
      <w:tr>
        <w:tc>
          <w:tcPr>
            <w:tcW w:type="dxa" w:w="2880"/>
          </w:tcPr>
          <w:p>
            <w:r>
              <w:t>Patch window</w:t>
            </w:r>
          </w:p>
        </w:tc>
        <w:tc>
          <w:tcPr>
            <w:tcW w:type="dxa" w:w="2880"/>
          </w:tcPr>
          <w:p>
            <w:r>
              <w:t>Procurement Lead</w:t>
            </w:r>
          </w:p>
        </w:tc>
        <w:tc>
          <w:tcPr>
            <w:tcW w:type="dxa" w:w="2880"/>
          </w:tcPr>
          <w:p>
            <w:r>
              <w:t>Blocked</w:t>
            </w:r>
          </w:p>
        </w:tc>
      </w:tr>
    </w:tbl>
    <w:p>
      <w:pPr>
        <w:pStyle w:val="Heading1"/>
      </w:pPr>
      <w:r>
        <w:t>Access Provisioning</w:t>
      </w:r>
    </w:p>
    <w:p>
      <w:r>
        <w:t>Evidence artifacts are retained in SAP for at least 12 months. This document aligns with SOX requirements and supports US data residency expectations.</w:t>
      </w:r>
    </w:p>
    <w:p>
      <w:r>
        <w:t>The process integrates with CI/CD Pipeline and depends on Okta for telemetry signals. All changes require peer review and validation in the CI/CD Pipeline before production promotion.</w:t>
      </w:r>
    </w:p>
    <w:p>
      <w:pPr>
        <w:pStyle w:val="ListBullet"/>
      </w:pPr>
      <w:r>
        <w:t>Systems are monitored via Okta and alert routing in SAP.</w:t>
      </w:r>
    </w:p>
    <w:p>
      <w:pPr>
        <w:pStyle w:val="ListBullet"/>
      </w:pPr>
      <w:r>
        <w:t>Stakeholders include the Procurement Lead, service owner, and compliance lead for approvals.</w:t>
      </w:r>
    </w:p>
    <w:p>
      <w:pPr>
        <w:pStyle w:val="ListBullet"/>
      </w:pPr>
      <w:r>
        <w:t>All incidents are tagged with severity and mapped to service tiers.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Engineering</w:t>
            </w:r>
          </w:p>
        </w:tc>
        <w:tc>
          <w:tcPr>
            <w:tcW w:type="dxa" w:w="2880"/>
          </w:tcPr>
          <w:p>
            <w:r>
              <w:t>Complete</w:t>
            </w:r>
          </w:p>
        </w:tc>
      </w:tr>
      <w:tr>
        <w:tc>
          <w:tcPr>
            <w:tcW w:type="dxa" w:w="2880"/>
          </w:tcPr>
          <w:p>
            <w:r>
              <w:t>Access review</w:t>
            </w:r>
          </w:p>
        </w:tc>
        <w:tc>
          <w:tcPr>
            <w:tcW w:type="dxa" w:w="2880"/>
          </w:tcPr>
          <w:p>
            <w:r>
              <w:t>Security</w:t>
            </w:r>
          </w:p>
        </w:tc>
        <w:tc>
          <w:tcPr>
            <w:tcW w:type="dxa" w:w="2880"/>
          </w:tcPr>
          <w:p>
            <w:r>
              <w:t>In Progress</w:t>
            </w:r>
          </w:p>
        </w:tc>
      </w:tr>
      <w:tr>
        <w:tc>
          <w:tcPr>
            <w:tcW w:type="dxa" w:w="2880"/>
          </w:tcPr>
          <w:p>
            <w:r>
              <w:t>Vendor check</w:t>
            </w:r>
          </w:p>
        </w:tc>
        <w:tc>
          <w:tcPr>
            <w:tcW w:type="dxa" w:w="2880"/>
          </w:tcPr>
          <w:p>
            <w:r>
              <w:t>Security</w:t>
            </w:r>
          </w:p>
        </w:tc>
        <w:tc>
          <w:tcPr>
            <w:tcW w:type="dxa" w:w="2880"/>
          </w:tcPr>
          <w:p>
            <w:r>
              <w:t>Complete</w:t>
            </w:r>
          </w:p>
        </w:tc>
      </w:tr>
      <w:tr>
        <w:tc>
          <w:tcPr>
            <w:tcW w:type="dxa" w:w="2880"/>
          </w:tcPr>
          <w:p>
            <w:r>
              <w:t>Vendor check</w:t>
            </w:r>
          </w:p>
        </w:tc>
        <w:tc>
          <w:tcPr>
            <w:tcW w:type="dxa" w:w="2880"/>
          </w:tcPr>
          <w:p>
            <w:r>
              <w:t>Engineering</w:t>
            </w:r>
          </w:p>
        </w:tc>
        <w:tc>
          <w:tcPr>
            <w:tcW w:type="dxa" w:w="2880"/>
          </w:tcPr>
          <w:p>
            <w:r>
              <w:t>Blocked</w:t>
            </w:r>
          </w:p>
        </w:tc>
      </w:tr>
    </w:tbl>
    <w:p>
      <w:pPr>
        <w:pStyle w:val="Heading1"/>
      </w:pPr>
      <w:r>
        <w:t>Training</w:t>
      </w:r>
    </w:p>
    <w:p>
      <w:r>
        <w:t>Risk acceptance must be documented and revalidated each quarter. This document aligns with SOX requirements and supports US data residency expectations.</w:t>
      </w:r>
    </w:p>
    <w:p>
      <w:r>
        <w:t>Risk acceptance must be documented and revalidated each quarter. Regional teams in US follow the same policy with localized legal review. Stakeholders include the Procurement Lead, service owner, and compliance lead for approvals.</w:t>
      </w:r>
    </w:p>
    <w:p>
      <w:pPr>
        <w:pStyle w:val="ListBullet"/>
      </w:pPr>
      <w:r>
        <w:t>Escalations should follow the on-call rotation with a response target of 60 minutes.</w:t>
      </w:r>
    </w:p>
    <w:p>
      <w:pPr>
        <w:pStyle w:val="ListBullet"/>
      </w:pPr>
      <w:r>
        <w:t>All incidents are tagged with severity and mapped to service tiers.</w:t>
      </w:r>
    </w:p>
    <w:p>
      <w:pPr>
        <w:pStyle w:val="ListBullet"/>
      </w:pPr>
      <w:r>
        <w:t>Escalations should follow the on-call rotation with a response target of 60 minutes.</w:t>
      </w:r>
    </w:p>
    <w:p>
      <w:pPr>
        <w:pStyle w:val="Heading1"/>
      </w:pPr>
      <w:r>
        <w:t>Success Metrics</w:t>
      </w:r>
    </w:p>
    <w:p>
      <w:r>
        <w:t>Risk acceptance must be documented and revalidated each quarter. The Engineering organization uses Okta to enforce consistent service baselines.</w:t>
      </w:r>
    </w:p>
    <w:p>
      <w:r>
        <w:t>We prioritize customer impact, data integrity, and regulatory alignment. This document aligns with SOX requirements and supports US data residency expectations. This document aligns with SOX requirements and supports US data residency expectations. The Engineering team coordinates with Procurement Lead to maintain operational readiness.</w:t>
      </w:r>
    </w:p>
    <w:p>
      <w:pPr>
        <w:pStyle w:val="ListBullet"/>
      </w:pPr>
      <w:r>
        <w:t>The Engineering team coordinates with Procurement Lead to maintain operational readiness.</w:t>
      </w:r>
    </w:p>
    <w:p>
      <w:pPr>
        <w:pStyle w:val="ListBullet"/>
      </w:pPr>
      <w:r>
        <w:t>All incidents are tagged with severity and mapped to service tiers.</w:t>
      </w:r>
    </w:p>
    <w:p>
      <w:pPr>
        <w:pStyle w:val="ListBullet"/>
      </w:pPr>
      <w:r>
        <w:t>Systems are monitored via Okta and alert routing in SAP.</w:t>
      </w:r>
    </w:p>
    <w:p>
      <w:pPr>
        <w:pStyle w:val="ListBullet"/>
      </w:pPr>
      <w:r>
        <w:t>Systems are monitored via Okta and alert routing in SAP.</w:t>
      </w:r>
    </w:p>
    <w:p>
      <w:pPr>
        <w:pStyle w:val="ListBullet"/>
      </w:pPr>
      <w:r>
        <w:t>Stakeholders include the Procurement Lead, service owner, and compliance lead for approvals.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Security</w:t>
            </w:r>
          </w:p>
        </w:tc>
        <w:tc>
          <w:tcPr>
            <w:tcW w:type="dxa" w:w="2880"/>
          </w:tcPr>
          <w:p>
            <w:r>
              <w:t>In Progress</w:t>
            </w:r>
          </w:p>
        </w:tc>
      </w:tr>
      <w:tr>
        <w:tc>
          <w:tcPr>
            <w:tcW w:type="dxa" w:w="2880"/>
          </w:tcPr>
          <w:p>
            <w:r>
              <w:t>Access review</w:t>
            </w:r>
          </w:p>
        </w:tc>
        <w:tc>
          <w:tcPr>
            <w:tcW w:type="dxa" w:w="2880"/>
          </w:tcPr>
          <w:p>
            <w:r>
              <w:t>Engineering</w:t>
            </w:r>
          </w:p>
        </w:tc>
        <w:tc>
          <w:tcPr>
            <w:tcW w:type="dxa" w:w="2880"/>
          </w:tcPr>
          <w:p>
            <w:r>
              <w:t>In Progress</w:t>
            </w:r>
          </w:p>
        </w:tc>
      </w:tr>
      <w:tr>
        <w:tc>
          <w:tcPr>
            <w:tcW w:type="dxa" w:w="2880"/>
          </w:tcPr>
          <w:p>
            <w:r>
              <w:t>Backup validation</w:t>
            </w:r>
          </w:p>
        </w:tc>
        <w:tc>
          <w:tcPr>
            <w:tcW w:type="dxa" w:w="2880"/>
          </w:tcPr>
          <w:p>
            <w:r>
              <w:t>Engineering</w:t>
            </w:r>
          </w:p>
        </w:tc>
        <w:tc>
          <w:tcPr>
            <w:tcW w:type="dxa" w:w="2880"/>
          </w:tcPr>
          <w:p>
            <w:r>
              <w:t>Blocked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