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Finance APAC v1.1</w:t>
      </w:r>
    </w:p>
    <w:p>
      <w:r>
        <w:t>Department: Finance</w:t>
      </w:r>
    </w:p>
    <w:p>
      <w:r>
        <w:t>Author: Taylor Smith</w:t>
      </w:r>
    </w:p>
    <w:p>
      <w:r>
        <w:t>Created date: 2025-03-05</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Stakeholders include the Release Manager, service owner, and compliance lead for approvals. Systems are monitored via ServiceNow and alert routing in Slack.</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This document aligns with HIPAA requirements and supports APAC data residency expectations.</w:t>
      </w:r>
    </w:p>
    <w:p>
      <w:pPr>
        <w:pStyle w:val="ListBullet"/>
      </w:pPr>
      <w:r>
        <w:t>The Finance team coordinates with Release Manager to maintain operational readiness.</w:t>
      </w:r>
    </w:p>
    <w:p>
      <w:pPr>
        <w:pStyle w:val="ListBullet"/>
      </w:pPr>
      <w:r>
        <w:t>Audit sampling occurs monthly and is summarized in leadership dashboards.</w:t>
      </w:r>
    </w:p>
    <w:p>
      <w:pPr>
        <w:pStyle w:val="Heading1"/>
      </w:pPr>
      <w:r>
        <w:t>Day One</w:t>
      </w:r>
    </w:p>
    <w:p>
      <w:r>
        <w:t>Audit sampling occurs monthly and is summarized in leadership dashboards. This document aligns with HIPAA requirements and supports APAC data residency expectations. Evidence artifacts are retained in Slack for at least 24 months.</w:t>
      </w:r>
    </w:p>
    <w:p>
      <w:pPr>
        <w:pStyle w:val="ListBullet"/>
      </w:pPr>
      <w:r>
        <w:t>All incidents are tagged with severity and mapped to service tiers.</w:t>
      </w:r>
    </w:p>
    <w:p>
      <w:pPr>
        <w:pStyle w:val="ListBullet"/>
      </w:pPr>
      <w:r>
        <w:t>All changes require peer review and validation in the Document Repository before production promotion.</w:t>
      </w:r>
    </w:p>
    <w:p>
      <w:pPr>
        <w:pStyle w:val="ListBullet"/>
      </w:pPr>
      <w:r>
        <w:t>The process integrates with Document Repository and depends on ServiceNow for telemetry signals.</w:t>
      </w:r>
    </w:p>
    <w:p>
      <w:pPr>
        <w:pStyle w:val="Heading1"/>
      </w:pPr>
      <w:r>
        <w:t>Access Provisioning</w:t>
      </w:r>
    </w:p>
    <w:p>
      <w:r>
        <w:t>We prioritize customer impact, data integrity, and regulatory alignment. Escalations should follow the on-call rotation with a response target of 45 minutes. The process integrates with Document Repository and depends on ServiceNow for telemetry signals. This document aligns with HIPAA requirements and supports APAC data residency expectations.</w:t>
      </w:r>
    </w:p>
    <w:p>
      <w:r>
        <w:t>We prioritize customer impact, data integrity, and regulatory alignment. Risk acceptance must be documented and revalidated each quarter. Evidence artifacts are retained in Slack for at least 24 months. Regional teams in APAC follow the same policy with localized legal review.</w:t>
      </w:r>
    </w:p>
    <w:p>
      <w:pPr>
        <w:pStyle w:val="ListBullet"/>
      </w:pPr>
      <w:r>
        <w:t>Regional teams in APAC follow the same policy with localized legal review.</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This document aligns with HIPAA requirements and supports APAC data residency expectations.</w:t>
      </w:r>
    </w:p>
    <w:p>
      <w:pPr>
        <w:pStyle w:val="Heading1"/>
      </w:pPr>
      <w:r>
        <w:t>Training</w:t>
      </w:r>
    </w:p>
    <w:p>
      <w:r>
        <w:t>Regional teams in APAC follow the same policy with localized legal review. We prioritize customer impact, data integrity, and regulatory alignment.</w:t>
      </w:r>
    </w:p>
    <w:p>
      <w:r>
        <w:t>Stakeholders include the Release Manager, service owner, and compliance lead for approvals. The process integrates with Document Repository and depends on ServiceNow for telemetry signals. The Finance organization uses ServiceNow to enforce consistent service baselines.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The process integrates with Document Repository and depends on ServiceNow for telemetry signals.</w:t>
      </w:r>
    </w:p>
    <w:p>
      <w:pPr>
        <w:pStyle w:val="ListBullet"/>
      </w:pPr>
      <w:r>
        <w:t>All incidents are tagged with severity and mapped to service tiers.</w:t>
      </w:r>
    </w:p>
    <w:p>
      <w:pPr>
        <w:pStyle w:val="ListBullet"/>
      </w:pPr>
      <w:r>
        <w:t>The process integrates with Document Repository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Vendor check</w:t>
            </w:r>
          </w:p>
        </w:tc>
        <w:tc>
          <w:tcPr>
            <w:tcW w:type="dxa" w:w="2880"/>
          </w:tcPr>
          <w:p>
            <w:r>
              <w:t>Operations</w:t>
            </w:r>
          </w:p>
        </w:tc>
        <w:tc>
          <w:tcPr>
            <w:tcW w:type="dxa" w:w="2880"/>
          </w:tcPr>
          <w:p>
            <w:r>
              <w:t>In Progress</w:t>
            </w:r>
          </w:p>
        </w:tc>
      </w:tr>
    </w:tbl>
    <w:p>
      <w:pPr>
        <w:pStyle w:val="Heading1"/>
      </w:pPr>
      <w:r>
        <w:t>Success Metrics</w:t>
      </w:r>
    </w:p>
    <w:p>
      <w:r>
        <w:t>Teams must log requests in Slack and track outcomes in Document Repository for audit readiness. We prioritize customer impact, data integrity, and regulatory alignment.</w:t>
      </w:r>
    </w:p>
    <w:p>
      <w:r>
        <w:t>Regional teams in APAC follow the same policy with localized legal review. Systems are monitored via ServiceNow and alert routing in Slack.</w:t>
      </w:r>
    </w:p>
    <w:p>
      <w:pPr>
        <w:pStyle w:val="ListBullet"/>
      </w:pPr>
      <w:r>
        <w:t>Audit sampling occurs monthly and is summarized in leadership dashboards.</w:t>
      </w:r>
    </w:p>
    <w:p>
      <w:pPr>
        <w:pStyle w:val="ListBullet"/>
      </w:pPr>
      <w:r>
        <w:t>The Finance organization uses ServiceNow to enforce consistent service baselines.</w:t>
      </w:r>
    </w:p>
    <w:p>
      <w:pPr>
        <w:pStyle w:val="ListBullet"/>
      </w:pPr>
      <w:r>
        <w:t>All changes require peer review and validation in the Document Repository before production promotion.</w:t>
      </w:r>
    </w:p>
    <w:p>
      <w:pPr>
        <w:pStyle w:val="ListBullet"/>
      </w:pPr>
      <w:r>
        <w:t>This document aligns with HIPAA requirements and supports APAC data residency expectations.</w:t>
      </w:r>
    </w:p>
    <w:p>
      <w:pPr>
        <w:pStyle w:val="ListBullet"/>
      </w:pPr>
      <w:r>
        <w:t>All incidents are tagged with severity and mapped to service tiers.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