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Finance APAC v2.1</w:t>
      </w:r>
    </w:p>
    <w:p>
      <w:r>
        <w:t>Department: Finance</w:t>
      </w:r>
    </w:p>
    <w:p>
      <w:r>
        <w:t>Author: Morgan Kim</w:t>
      </w:r>
    </w:p>
    <w:p>
      <w:r>
        <w:t>Created date: 2024-04-14</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Systems are monitored via Datadog and alert routing in GitHub Enterprise. Audit sampling occurs monthly and is summarized in leadership dashboards. Teams must log requests in GitHub Enterprise and track outcomes in Identity Access Gateway for audit readiness.</w:t>
      </w:r>
    </w:p>
    <w:p>
      <w:pPr>
        <w:pStyle w:val="ListBullet"/>
      </w:pPr>
      <w:r>
        <w:t>Teams must log requests in GitHub Enterprise and track outcomes in Identity Access Gateway for audit readiness.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Regional teams in APAC follow the same policy with localized legal review.</w:t>
      </w:r>
    </w:p>
    <w:p>
      <w:pPr>
        <w:pStyle w:val="ListBullet"/>
      </w:pPr>
      <w:r>
        <w:t>The Finance team coordinates with Platform Engineer to maintain operational readiness.</w:t>
      </w:r>
    </w:p>
    <w:p>
      <w:pPr>
        <w:pStyle w:val="ListBullet"/>
      </w:pPr>
      <w:r>
        <w:t>Risk acceptance must be documented and revalidated each quarter.</w:t>
      </w:r>
    </w:p>
    <w:p>
      <w:pPr>
        <w:pStyle w:val="Heading1"/>
      </w:pPr>
      <w:r>
        <w:t>Day One</w:t>
      </w:r>
    </w:p>
    <w:p>
      <w:r>
        <w:t>Regional teams in APAC follow the same policy with localized legal review. Escalations should follow the on-call rotation with a response target of 30 minutes. Escalations should follow the on-call rotation with a response target of 30 minutes.</w:t>
      </w:r>
    </w:p>
    <w:p>
      <w:pPr>
        <w:pStyle w:val="ListBullet"/>
      </w:pPr>
      <w:r>
        <w:t>Systems are monitored via Datadog and alert routing in GitHub Enterprise.</w:t>
      </w:r>
    </w:p>
    <w:p>
      <w:pPr>
        <w:pStyle w:val="ListBullet"/>
      </w:pPr>
      <w:r>
        <w:t>Regional teams in APAC follow the same policy with localized legal review.</w:t>
      </w:r>
    </w:p>
    <w:p>
      <w:pPr>
        <w:pStyle w:val="ListBullet"/>
      </w:pPr>
      <w:r>
        <w:t>Systems are monitored via Datadog and alert routing in GitHub Enterprise.</w:t>
      </w:r>
    </w:p>
    <w:p>
      <w:pPr>
        <w:pStyle w:val="ListBullet"/>
      </w:pPr>
      <w:r>
        <w:t>All incidents are tagged with severity and mapped to service tiers.</w:t>
      </w:r>
    </w:p>
    <w:p>
      <w:pPr>
        <w:pStyle w:val="ListBullet"/>
      </w:pPr>
      <w:r>
        <w:t>Evidence artifacts are retained in GitHub Enterprise for at least 12 months.</w:t>
      </w:r>
    </w:p>
    <w:p>
      <w:pPr>
        <w:pStyle w:val="Heading1"/>
      </w:pPr>
      <w:r>
        <w:t>Access Provisioning</w:t>
      </w:r>
    </w:p>
    <w:p>
      <w:r>
        <w:t>Regional teams in APAC follow the same policy with localized legal review. Escalations should follow the on-call rotation with a response target of 30 minutes. All incidents are tagged with severity and mapped to service tiers. Teams must log requests in GitHub Enterprise and track outcomes in Identity Access Gateway for audit readiness.</w:t>
      </w:r>
    </w:p>
    <w:p>
      <w:r>
        <w:t>Evidence artifacts are retained in GitHub Enterprise for at least 12 months. Stakeholders include the Platform Engineer, service owner, and compliance lead for approvals.</w:t>
      </w:r>
    </w:p>
    <w:p>
      <w:pPr>
        <w:pStyle w:val="ListBullet"/>
      </w:pPr>
      <w:r>
        <w:t>Stakeholders include the Platform Engineer, service owner, and compliance lead for approvals.</w:t>
      </w:r>
    </w:p>
    <w:p>
      <w:pPr>
        <w:pStyle w:val="ListBullet"/>
      </w:pPr>
      <w:r>
        <w:t>This document aligns with SOC 2 requirements and supports APAC data residency expectations.</w:t>
      </w:r>
    </w:p>
    <w:p>
      <w:pPr>
        <w:pStyle w:val="ListBullet"/>
      </w:pPr>
      <w:r>
        <w:t>We prioritize customer impact, data integrity, and regulatory alignment.</w:t>
      </w:r>
    </w:p>
    <w:p>
      <w:pPr>
        <w:pStyle w:val="Heading1"/>
      </w:pPr>
      <w:r>
        <w:t>Training</w:t>
      </w:r>
    </w:p>
    <w:p>
      <w:r>
        <w:t>Teams must log requests in GitHub Enterprise and track outcomes in Identity Access Gateway for audit readiness. All changes require peer review and validation in the Identity Access Gateway before production promotion. Regional teams in APAC follow the same policy with localized legal review. The Finance team coordinates with Platform Engineer to maintain operational readiness.</w:t>
      </w:r>
    </w:p>
    <w:p>
      <w:pPr>
        <w:pStyle w:val="ListBullet"/>
      </w:pPr>
      <w:r>
        <w:t>All changes require peer review and validation in the Identity Access Gateway before production promotion.</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The Finance team coordinates with Platform Engineer to maintain operational readiness.</w:t>
      </w:r>
    </w:p>
    <w:p>
      <w:pPr>
        <w:pStyle w:val="Heading1"/>
      </w:pPr>
      <w:r>
        <w:t>Success Metrics</w:t>
      </w:r>
    </w:p>
    <w:p>
      <w:r>
        <w:t>Audit sampling occurs monthly and is summarized in leadership dashboards. Risk acceptance must be documented and revalidated each quarter. The process integrates with Identity Access Gateway and depends on Datadog for telemetry signals. Audit sampling occurs monthly and is summarized in leadership dashboards.</w:t>
      </w:r>
    </w:p>
    <w:p>
      <w:r>
        <w:t>Teams must log requests in GitHub Enterprise and track outcomes in Identity Access Gateway for audit readiness. Teams must log requests in GitHub Enterprise and track outcomes in Identity Access Gateway for audit readiness. This document aligns with SOC 2 requirements and supports APAC data residency expectations. Stakeholders include the Platform Engineer, service owner, and compliance lead for approvals.</w:t>
      </w:r>
    </w:p>
    <w:p>
      <w:pPr>
        <w:pStyle w:val="ListBullet"/>
      </w:pPr>
      <w:r>
        <w:t>This document aligns with SOC 2 requirements and supports APAC data residency expectations.</w:t>
      </w:r>
    </w:p>
    <w:p>
      <w:pPr>
        <w:pStyle w:val="ListBullet"/>
      </w:pPr>
      <w:r>
        <w:t>Systems are monitored via Datadog and alert routing in GitHub Enterprise.</w:t>
      </w:r>
    </w:p>
    <w:p>
      <w:pPr>
        <w:pStyle w:val="ListBullet"/>
      </w:pPr>
      <w:r>
        <w:t>The Finance team coordinates with Platform Engineer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Platform Engineer</w:t>
            </w:r>
          </w:p>
        </w:tc>
        <w:tc>
          <w:tcPr>
            <w:tcW w:type="dxa" w:w="2880"/>
          </w:tcPr>
          <w:p>
            <w:r>
              <w:t>Planned</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Patch window</w:t>
            </w:r>
          </w:p>
        </w:tc>
        <w:tc>
          <w:tcPr>
            <w:tcW w:type="dxa" w:w="2880"/>
          </w:tcPr>
          <w:p>
            <w:r>
              <w:t>Platform Engineer</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