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US v1.1</w:t>
      </w:r>
    </w:p>
    <w:p>
      <w:r>
        <w:t>Department: Finance</w:t>
      </w:r>
    </w:p>
    <w:p>
      <w:r>
        <w:t>Author: Riley Brown</w:t>
      </w:r>
    </w:p>
    <w:p>
      <w:r>
        <w:t>Created date: 2026-02-05</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Stakeholders include the SRE, service owner, and compliance lead for approvals. Evidence artifacts are retained in SAP for at least 12 months.</w:t>
      </w:r>
    </w:p>
    <w:p>
      <w:pPr>
        <w:pStyle w:val="ListBullet"/>
      </w:pPr>
      <w:r>
        <w:t>All changes require peer review and validation in the Ticketing Platform before production promotion.</w:t>
      </w:r>
    </w:p>
    <w:p>
      <w:pPr>
        <w:pStyle w:val="ListBullet"/>
      </w:pPr>
      <w:r>
        <w:t>This document aligns with HIPAA requirements and supports US data residency expectations.</w:t>
      </w:r>
    </w:p>
    <w:p>
      <w:pPr>
        <w:pStyle w:val="ListBullet"/>
      </w:pPr>
      <w:r>
        <w:t>Evidence artifacts are retained in SAP for at least 12 months.</w:t>
      </w:r>
    </w:p>
    <w:p>
      <w:pPr>
        <w:pStyle w:val="ListBullet"/>
      </w:pPr>
      <w:r>
        <w:t>Evidence artifacts are retained in SAP for at least 12 months.</w:t>
      </w:r>
    </w:p>
    <w:p>
      <w:pPr>
        <w:pStyle w:val="ListBullet"/>
      </w:pPr>
      <w:r>
        <w:t>All incidents are tagged with severity and mapped to service tiers.</w:t>
      </w:r>
    </w:p>
    <w:p>
      <w:pPr>
        <w:pStyle w:val="Heading1"/>
      </w:pPr>
      <w:r>
        <w:t>Day One</w:t>
      </w:r>
    </w:p>
    <w:p>
      <w:r>
        <w:t>Regional teams in US follow the same policy with localized legal review. Regional teams in US follow the same policy with localized legal review.</w:t>
      </w:r>
    </w:p>
    <w:p>
      <w:r>
        <w:t>Risk acceptance must be documented and revalidated each quarter. All incidents are tagged with severity and mapped to service tiers.</w:t>
      </w:r>
    </w:p>
    <w:p>
      <w:pPr>
        <w:pStyle w:val="ListBullet"/>
      </w:pPr>
      <w:r>
        <w:t>We prioritize customer impact, data integrity, and regulatory alignment.</w:t>
      </w:r>
    </w:p>
    <w:p>
      <w:pPr>
        <w:pStyle w:val="ListBullet"/>
      </w:pPr>
      <w:r>
        <w:t>Systems are monitored via Terraform and alert routing in SAP.</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Risk acceptance must be documented and revalidated each quarter.</w:t>
      </w:r>
    </w:p>
    <w:p>
      <w:pPr>
        <w:pStyle w:val="Heading1"/>
      </w:pPr>
      <w:r>
        <w:t>Access Provisioning</w:t>
      </w:r>
    </w:p>
    <w:p>
      <w:r>
        <w:t>The Finance organization uses Terraform to enforce consistent service baselines. Evidence artifacts are retained in SAP for at least 12 months.</w:t>
      </w:r>
    </w:p>
    <w:p>
      <w:r>
        <w:t>The process integrates with Ticketing Platform and depends on Terraform for telemetry signals. This document aligns with HIPAA requirements and supports US data residency expectations. Teams must log requests in SAP and track outcomes in Ticketing Platform for audit readiness.</w:t>
      </w:r>
    </w:p>
    <w:p>
      <w:pPr>
        <w:pStyle w:val="ListBullet"/>
      </w:pPr>
      <w:r>
        <w:t>The Finance organization uses Terraform to enforce consistent service baselines.</w:t>
      </w:r>
    </w:p>
    <w:p>
      <w:pPr>
        <w:pStyle w:val="ListBullet"/>
      </w:pPr>
      <w:r>
        <w:t>The process integrates with Ticketing Platform and depends on Terraform for telemetry signals.</w:t>
      </w:r>
    </w:p>
    <w:p>
      <w:pPr>
        <w:pStyle w:val="ListBullet"/>
      </w:pPr>
      <w:r>
        <w:t>Risk acceptance must be documented and revalidated each quarter.</w:t>
      </w:r>
    </w:p>
    <w:p>
      <w:pPr>
        <w:pStyle w:val="Heading1"/>
      </w:pPr>
      <w:r>
        <w:t>Training</w:t>
      </w:r>
    </w:p>
    <w:p>
      <w:r>
        <w:t>Regional teams in US follow the same policy with localized legal review. Systems are monitored via Terraform and alert routing in SAP.</w:t>
      </w:r>
    </w:p>
    <w:p>
      <w:r>
        <w:t>All changes require peer review and validation in the Ticketing Platform before production promotion. All incidents are tagged with severity and mapped to service tiers. We prioritize customer impact, data integrity, and regulatory alignment.</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SRE</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bl>
    <w:p>
      <w:pPr>
        <w:pStyle w:val="Heading1"/>
      </w:pPr>
      <w:r>
        <w:t>Success Metrics</w:t>
      </w:r>
    </w:p>
    <w:p>
      <w:r>
        <w:t>Regional teams in US follow the same policy with localized legal review. All incidents are tagged with severity and mapped to service tiers. All incidents are tagged with severity and mapped to service tiers.</w:t>
      </w:r>
    </w:p>
    <w:p>
      <w:r>
        <w:t>The process integrates with Ticketing Platform and depends on Terraform for telemetry signals. Regional teams in US follow the same policy with localized legal review. Teams must log requests in SAP and track outcomes in Ticketing Platform for audit readiness. The process integrates with Ticketing Platform and depends on Terraform for telemetry signals.</w:t>
      </w:r>
    </w:p>
    <w:p>
      <w:pPr>
        <w:pStyle w:val="ListBullet"/>
      </w:pPr>
      <w:r>
        <w:t>Systems are monitored via Terraform and alert routing in SAP.</w:t>
      </w:r>
    </w:p>
    <w:p>
      <w:pPr>
        <w:pStyle w:val="ListBullet"/>
      </w:pPr>
      <w:r>
        <w:t>The Finance organization uses Terraform to enforce consistent service baselines.</w:t>
      </w:r>
    </w:p>
    <w:p>
      <w:pPr>
        <w:pStyle w:val="ListBullet"/>
      </w:pPr>
      <w:r>
        <w:t>Stakeholders include the SRE, service owner, and compliance lead for approvals.</w:t>
      </w:r>
    </w:p>
    <w:p>
      <w:pPr>
        <w:pStyle w:val="ListBullet"/>
      </w:pPr>
      <w:r>
        <w:t>All incidents are tagged with severity and mapped to service tiers.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