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Employee Onboarding - Legal APAC v1.0</w:t>
      </w:r>
    </w:p>
    <w:p>
      <w:r>
        <w:t>Department: Legal</w:t>
      </w:r>
    </w:p>
    <w:p>
      <w:r>
        <w:t>Author: Morgan Patel</w:t>
      </w:r>
    </w:p>
    <w:p>
      <w:r>
        <w:t>Created date: 2025-01-16</w:t>
      </w:r>
    </w:p>
    <w:p>
      <w:r>
        <w:t>Region: APAC</w:t>
      </w:r>
    </w:p>
    <w:p>
      <w:r>
        <w:t>Version: 1.0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Pre-Start Checklist</w:t>
      </w:r>
    </w:p>
    <w:p>
      <w:r>
        <w:t>Audit sampling occurs monthly and is summarized in leadership dashboards. Escalations should follow the on-call rotation with a response target of 60 minutes. Teams must log requests in Zoom and track outcomes in CRM Platform for audit readiness.</w:t>
      </w:r>
    </w:p>
    <w:p>
      <w:pPr>
        <w:pStyle w:val="ListBullet"/>
      </w:pPr>
      <w:r>
        <w:t>We prioritize customer impact, data integrity, and regulatory alignment.</w:t>
      </w:r>
    </w:p>
    <w:p>
      <w:pPr>
        <w:pStyle w:val="ListBullet"/>
      </w:pPr>
      <w:r>
        <w:t>Systems are monitored via Okta and alert routing in Zoom.</w:t>
      </w:r>
    </w:p>
    <w:p>
      <w:pPr>
        <w:pStyle w:val="ListBullet"/>
      </w:pPr>
      <w:r>
        <w:t>This document aligns with ISO 27001 requirements and supports APAC data residency expectations.</w:t>
      </w:r>
    </w:p>
    <w:p>
      <w:pPr>
        <w:pStyle w:val="ListBullet"/>
      </w:pPr>
      <w:r>
        <w:t>Teams must log requests in Zoom and track outcomes in CRM Platform for audit readiness.</w:t>
      </w:r>
    </w:p>
    <w:p>
      <w:pPr>
        <w:pStyle w:val="ListBullet"/>
      </w:pPr>
      <w:r>
        <w:t>The Legal organization uses Okta to enforce consistent service baselines.</w:t>
      </w:r>
    </w:p>
    <w:p>
      <w:pPr>
        <w:pStyle w:val="ListBullet"/>
      </w:pPr>
      <w:r>
        <w:t>We prioritize customer impact, data integrity, and regulatory alignment.</w:t>
      </w:r>
    </w:p>
    <w:p>
      <w:pPr>
        <w:pStyle w:val="Heading1"/>
      </w:pPr>
      <w:r>
        <w:t>Day One</w:t>
      </w:r>
    </w:p>
    <w:p>
      <w:r>
        <w:t>This document aligns with ISO 27001 requirements and supports APAC data residency expectations. All incidents are tagged with severity and mapped to service tiers. Audit sampling occurs monthly and is summarized in leadership dashboards. Regional teams in APAC follow the same policy with localized legal review.</w:t>
      </w:r>
    </w:p>
    <w:p>
      <w:pPr>
        <w:pStyle w:val="ListBullet"/>
      </w:pPr>
      <w:r>
        <w:t>Audit sampling occurs monthly and is summarized in leadership dashboards.</w:t>
      </w:r>
    </w:p>
    <w:p>
      <w:pPr>
        <w:pStyle w:val="ListBullet"/>
      </w:pPr>
      <w:r>
        <w:t>All changes require peer review and validation in the CRM Platform before production promotion.</w:t>
      </w:r>
    </w:p>
    <w:p>
      <w:pPr>
        <w:pStyle w:val="ListBullet"/>
      </w:pPr>
      <w:r>
        <w:t>All changes require peer review and validation in the CRM Platform before production promotion.</w:t>
      </w:r>
    </w:p>
    <w:p>
      <w:pPr>
        <w:pStyle w:val="Heading1"/>
      </w:pPr>
      <w:r>
        <w:t>Access Provisioning</w:t>
      </w:r>
    </w:p>
    <w:p>
      <w:r>
        <w:t>Regional teams in APAC follow the same policy with localized legal review. Regional teams in APAC follow the same policy with localized legal review.</w:t>
      </w:r>
    </w:p>
    <w:p>
      <w:r>
        <w:t>Teams must log requests in Zoom and track outcomes in CRM Platform for audit readiness. This document aligns with ISO 27001 requirements and supports APAC data residency expectations. The Legal organization uses Okta to enforce consistent service baselines.</w:t>
      </w:r>
    </w:p>
    <w:p>
      <w:pPr>
        <w:pStyle w:val="ListBullet"/>
      </w:pPr>
      <w:r>
        <w:t>All incidents are tagged with severity and mapped to service tiers.</w:t>
      </w:r>
    </w:p>
    <w:p>
      <w:pPr>
        <w:pStyle w:val="ListBullet"/>
      </w:pPr>
      <w:r>
        <w:t>The Legal team coordinates with SRE to maintain operational readiness.</w:t>
      </w:r>
    </w:p>
    <w:p>
      <w:pPr>
        <w:pStyle w:val="ListBullet"/>
      </w:pPr>
      <w:r>
        <w:t>Risk acceptance must be documented and revalidated each quarter.</w:t>
      </w:r>
    </w:p>
    <w:p>
      <w:pPr>
        <w:pStyle w:val="ListBullet"/>
      </w:pPr>
      <w:r>
        <w:t>All changes require peer review and validation in the CRM Platform before production promotion.</w:t>
      </w:r>
    </w:p>
    <w:p>
      <w:pPr>
        <w:pStyle w:val="ListBullet"/>
      </w:pPr>
      <w:r>
        <w:t>The process integrates with CRM Platform and depends on Okta for telemetry signals.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Operations</w:t>
            </w:r>
          </w:p>
        </w:tc>
        <w:tc>
          <w:tcPr>
            <w:tcW w:type="dxa" w:w="2880"/>
          </w:tcPr>
          <w:p>
            <w:r>
              <w:t>Complete</w:t>
            </w:r>
          </w:p>
        </w:tc>
      </w:tr>
      <w:tr>
        <w:tc>
          <w:tcPr>
            <w:tcW w:type="dxa" w:w="2880"/>
          </w:tcPr>
          <w:p>
            <w:r>
              <w:t>Access review</w:t>
            </w:r>
          </w:p>
        </w:tc>
        <w:tc>
          <w:tcPr>
            <w:tcW w:type="dxa" w:w="2880"/>
          </w:tcPr>
          <w:p>
            <w:r>
              <w:t>Security</w:t>
            </w:r>
          </w:p>
        </w:tc>
        <w:tc>
          <w:tcPr>
            <w:tcW w:type="dxa" w:w="2880"/>
          </w:tcPr>
          <w:p>
            <w:r>
              <w:t>Complete</w:t>
            </w:r>
          </w:p>
        </w:tc>
      </w:tr>
      <w:tr>
        <w:tc>
          <w:tcPr>
            <w:tcW w:type="dxa" w:w="2880"/>
          </w:tcPr>
          <w:p>
            <w:r>
              <w:t>Access review</w:t>
            </w:r>
          </w:p>
        </w:tc>
        <w:tc>
          <w:tcPr>
            <w:tcW w:type="dxa" w:w="2880"/>
          </w:tcPr>
          <w:p>
            <w:r>
              <w:t>Legal</w:t>
            </w:r>
          </w:p>
        </w:tc>
        <w:tc>
          <w:tcPr>
            <w:tcW w:type="dxa" w:w="2880"/>
          </w:tcPr>
          <w:p>
            <w:r>
              <w:t>Complete</w:t>
            </w:r>
          </w:p>
        </w:tc>
      </w:tr>
    </w:tbl>
    <w:p>
      <w:pPr>
        <w:pStyle w:val="Heading1"/>
      </w:pPr>
      <w:r>
        <w:t>Training</w:t>
      </w:r>
    </w:p>
    <w:p>
      <w:r>
        <w:t>Evidence artifacts are retained in Zoom for at least 12 months. This document aligns with ISO 27001 requirements and supports APAC data residency expectations. Teams must log requests in Zoom and track outcomes in CRM Platform for audit readiness. This document aligns with ISO 27001 requirements and supports APAC data residency expectations.</w:t>
      </w:r>
    </w:p>
    <w:p>
      <w:r>
        <w:t>The Legal organization uses Okta to enforce consistent service baselines. The process integrates with CRM Platform and depends on Okta for telemetry signals. Risk acceptance must be documented and revalidated each quarter.</w:t>
      </w:r>
    </w:p>
    <w:p>
      <w:pPr>
        <w:pStyle w:val="ListBullet"/>
      </w:pPr>
      <w:r>
        <w:t>Systems are monitored via Okta and alert routing in Zoom.</w:t>
      </w:r>
    </w:p>
    <w:p>
      <w:pPr>
        <w:pStyle w:val="ListBullet"/>
      </w:pPr>
      <w:r>
        <w:t>We prioritize customer impact, data integrity, and regulatory alignment.</w:t>
      </w:r>
    </w:p>
    <w:p>
      <w:pPr>
        <w:pStyle w:val="ListBullet"/>
      </w:pPr>
      <w:r>
        <w:t>Teams must log requests in Zoom and track outcomes in CRM Platform for audit readiness.</w:t>
      </w:r>
    </w:p>
    <w:p>
      <w:pPr>
        <w:pStyle w:val="ListBullet"/>
      </w:pPr>
      <w:r>
        <w:t>The Legal team coordinates with SRE to maintain operational readiness.</w:t>
      </w:r>
    </w:p>
    <w:p>
      <w:pPr>
        <w:pStyle w:val="ListBullet"/>
      </w:pPr>
      <w:r>
        <w:t>Systems are monitored via Okta and alert routing in Zoom.</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Operations</w:t>
            </w:r>
          </w:p>
        </w:tc>
        <w:tc>
          <w:tcPr>
            <w:tcW w:type="dxa" w:w="2880"/>
          </w:tcPr>
          <w:p>
            <w:r>
              <w:t>Blocked</w:t>
            </w:r>
          </w:p>
        </w:tc>
      </w:tr>
      <w:tr>
        <w:tc>
          <w:tcPr>
            <w:tcW w:type="dxa" w:w="2880"/>
          </w:tcPr>
          <w:p>
            <w:r>
              <w:t>Patch window</w:t>
            </w:r>
          </w:p>
        </w:tc>
        <w:tc>
          <w:tcPr>
            <w:tcW w:type="dxa" w:w="2880"/>
          </w:tcPr>
          <w:p>
            <w:r>
              <w:t>Legal</w:t>
            </w:r>
          </w:p>
        </w:tc>
        <w:tc>
          <w:tcPr>
            <w:tcW w:type="dxa" w:w="2880"/>
          </w:tcPr>
          <w:p>
            <w:r>
              <w:t>Blocked</w:t>
            </w:r>
          </w:p>
        </w:tc>
      </w:tr>
      <w:tr>
        <w:tc>
          <w:tcPr>
            <w:tcW w:type="dxa" w:w="2880"/>
          </w:tcPr>
          <w:p>
            <w:r>
              <w:t>Vendor check</w:t>
            </w:r>
          </w:p>
        </w:tc>
        <w:tc>
          <w:tcPr>
            <w:tcW w:type="dxa" w:w="2880"/>
          </w:tcPr>
          <w:p>
            <w:r>
              <w:t>Legal</w:t>
            </w:r>
          </w:p>
        </w:tc>
        <w:tc>
          <w:tcPr>
            <w:tcW w:type="dxa" w:w="2880"/>
          </w:tcPr>
          <w:p>
            <w:r>
              <w:t>Planned</w:t>
            </w:r>
          </w:p>
        </w:tc>
      </w:tr>
      <w:tr>
        <w:tc>
          <w:tcPr>
            <w:tcW w:type="dxa" w:w="2880"/>
          </w:tcPr>
          <w:p>
            <w:r>
              <w:t>Access review</w:t>
            </w:r>
          </w:p>
        </w:tc>
        <w:tc>
          <w:tcPr>
            <w:tcW w:type="dxa" w:w="2880"/>
          </w:tcPr>
          <w:p>
            <w:r>
              <w:t>Security</w:t>
            </w:r>
          </w:p>
        </w:tc>
        <w:tc>
          <w:tcPr>
            <w:tcW w:type="dxa" w:w="2880"/>
          </w:tcPr>
          <w:p>
            <w:r>
              <w:t>Planned</w:t>
            </w:r>
          </w:p>
        </w:tc>
      </w:tr>
    </w:tbl>
    <w:p>
      <w:pPr>
        <w:pStyle w:val="Heading1"/>
      </w:pPr>
      <w:r>
        <w:t>Success Metrics</w:t>
      </w:r>
    </w:p>
    <w:p>
      <w:r>
        <w:t>The Legal team coordinates with SRE to maintain operational readiness. Systems are monitored via Okta and alert routing in Zoom. Teams must log requests in Zoom and track outcomes in CRM Platform for audit readiness.</w:t>
      </w:r>
    </w:p>
    <w:p>
      <w:pPr>
        <w:pStyle w:val="ListBullet"/>
      </w:pPr>
      <w:r>
        <w:t>Audit sampling occurs monthly and is summarized in leadership dashboards.</w:t>
      </w:r>
    </w:p>
    <w:p>
      <w:pPr>
        <w:pStyle w:val="ListBullet"/>
      </w:pPr>
      <w:r>
        <w:t>Audit sampling occurs monthly and is summarized in leadership dashboards.</w:t>
      </w:r>
    </w:p>
    <w:p>
      <w:pPr>
        <w:pStyle w:val="ListBullet"/>
      </w:pPr>
      <w:r>
        <w:t>This document aligns with ISO 27001 requirements and supports APAC data residency expectations.</w:t>
      </w:r>
    </w:p>
    <w:p>
      <w:pPr>
        <w:pStyle w:val="ListBullet"/>
      </w:pPr>
      <w:r>
        <w:t>All incidents are tagged with severity and mapped to service tiers.</w:t>
      </w:r>
    </w:p>
    <w:p>
      <w:pPr>
        <w:pStyle w:val="ListBullet"/>
      </w:pPr>
      <w:r>
        <w:t>Systems are monitored via Okta and alert routing in Zoom.</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SRE</w:t>
            </w:r>
          </w:p>
        </w:tc>
        <w:tc>
          <w:tcPr>
            <w:tcW w:type="dxa" w:w="2880"/>
          </w:tcPr>
          <w:p>
            <w:r>
              <w:t>Blocked</w:t>
            </w:r>
          </w:p>
        </w:tc>
      </w:tr>
      <w:tr>
        <w:tc>
          <w:tcPr>
            <w:tcW w:type="dxa" w:w="2880"/>
          </w:tcPr>
          <w:p>
            <w:r>
              <w:t>Patch window</w:t>
            </w:r>
          </w:p>
        </w:tc>
        <w:tc>
          <w:tcPr>
            <w:tcW w:type="dxa" w:w="2880"/>
          </w:tcPr>
          <w:p>
            <w:r>
              <w:t>Operations</w:t>
            </w:r>
          </w:p>
        </w:tc>
        <w:tc>
          <w:tcPr>
            <w:tcW w:type="dxa" w:w="2880"/>
          </w:tcPr>
          <w:p>
            <w:r>
              <w:t>Planned</w:t>
            </w:r>
          </w:p>
        </w:tc>
      </w:tr>
      <w:tr>
        <w:tc>
          <w:tcPr>
            <w:tcW w:type="dxa" w:w="2880"/>
          </w:tcPr>
          <w:p>
            <w:r>
              <w:t>Access review</w:t>
            </w:r>
          </w:p>
        </w:tc>
        <w:tc>
          <w:tcPr>
            <w:tcW w:type="dxa" w:w="2880"/>
          </w:tcPr>
          <w:p>
            <w:r>
              <w:t>Legal</w:t>
            </w:r>
          </w:p>
        </w:tc>
        <w:tc>
          <w:tcPr>
            <w:tcW w:type="dxa" w:w="2880"/>
          </w:tcPr>
          <w:p>
            <w:r>
              <w:t>Blocked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