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APAC v1.0</w:t>
      </w:r>
    </w:p>
    <w:p>
      <w:r>
        <w:t>Department: Legal</w:t>
      </w:r>
    </w:p>
    <w:p>
      <w:r>
        <w:t>Author: Riley Smith</w:t>
      </w:r>
    </w:p>
    <w:p>
      <w:r>
        <w:t>Created date: 2024-09-16</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Azure and alert routing in Microsoft 365. Risk acceptance must be documented and revalidated each quarter.</w:t>
      </w:r>
    </w:p>
    <w:p>
      <w:pPr>
        <w:pStyle w:val="ListBullet"/>
      </w:pPr>
      <w:r>
        <w:t>Evidence artifacts are retained in Microsoft 365 for at least 24 months.</w:t>
      </w:r>
    </w:p>
    <w:p>
      <w:pPr>
        <w:pStyle w:val="ListBullet"/>
      </w:pPr>
      <w:r>
        <w:t>Stakeholders include the Compliance Manager, service owner, and compliance lead for approvals.</w:t>
      </w:r>
    </w:p>
    <w:p>
      <w:pPr>
        <w:pStyle w:val="ListBullet"/>
      </w:pPr>
      <w:r>
        <w:t>The process integrates with Endpoint Management and depends on Azure for telemetry signals.</w:t>
      </w:r>
    </w:p>
    <w:p>
      <w:pPr>
        <w:pStyle w:val="ListBullet"/>
      </w:pPr>
      <w:r>
        <w:t>Systems are monitored via Azure and alert routing in Microsoft 365.</w:t>
      </w:r>
    </w:p>
    <w:p>
      <w:pPr>
        <w:pStyle w:val="ListBullet"/>
      </w:pPr>
      <w:r>
        <w:t>Evidence artifacts are retained in Microsoft 365 for at least 24 months.</w:t>
      </w:r>
    </w:p>
    <w:p>
      <w:pPr>
        <w:pStyle w:val="Heading1"/>
      </w:pPr>
      <w:r>
        <w:t>Day One</w:t>
      </w:r>
    </w:p>
    <w:p>
      <w:r>
        <w:t>We prioritize customer impact, data integrity, and regulatory alignment. The process integrates with Endpoint Management and depends on Azure for telemetry signals.</w:t>
      </w:r>
    </w:p>
    <w:p>
      <w:pPr>
        <w:pStyle w:val="ListBullet"/>
      </w:pPr>
      <w:r>
        <w:t>Risk acceptance must be documented and revalidated each quarter.</w:t>
      </w:r>
    </w:p>
    <w:p>
      <w:pPr>
        <w:pStyle w:val="ListBullet"/>
      </w:pPr>
      <w:r>
        <w:t>The process integrates with Endpoint Management and depends on Azure for telemetry signals.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Heading1"/>
      </w:pPr>
      <w:r>
        <w:t>Access Provisioning</w:t>
      </w:r>
    </w:p>
    <w:p>
      <w:r>
        <w:t>Escalations should follow the on-call rotation with a response target of 45 minutes. Escalations should follow the on-call rotation with a response target of 45 minutes. We prioritize customer impact, data integrity, and regulatory alignment. Escalations should follow the on-call rotation with a response target of 45 minutes.</w:t>
      </w:r>
    </w:p>
    <w:p>
      <w:pPr>
        <w:pStyle w:val="ListBullet"/>
      </w:pPr>
      <w:r>
        <w:t>Escalations should follow the on-call rotation with a response target of 45 minutes.</w:t>
      </w:r>
    </w:p>
    <w:p>
      <w:pPr>
        <w:pStyle w:val="ListBullet"/>
      </w:pPr>
      <w:r>
        <w:t>All changes require peer review and validation in the Endpoint Management before production promotion.</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All incidents are tagged with severity and mapped to service tiers.</w:t>
      </w:r>
    </w:p>
    <w:p>
      <w:pPr>
        <w:pStyle w:val="Heading1"/>
      </w:pPr>
      <w:r>
        <w:t>Training</w:t>
      </w:r>
    </w:p>
    <w:p>
      <w:r>
        <w:t>Risk acceptance must be documented and revalidated each quarter. We prioritize customer impact, data integrity, and regulatory alignment. The Legal organization uses Azure to enforce consistent service baselines.</w:t>
      </w:r>
    </w:p>
    <w:p>
      <w:r>
        <w:t>The Legal organization uses Azure to enforce consistent service baselines. We prioritize customer impact, data integrity, and regulatory alignment.</w:t>
      </w:r>
    </w:p>
    <w:p>
      <w:pPr>
        <w:pStyle w:val="ListBullet"/>
      </w:pPr>
      <w:r>
        <w:t>The Legal team coordinates with Compliance Manager to maintain operational readiness.</w:t>
      </w:r>
    </w:p>
    <w:p>
      <w:pPr>
        <w:pStyle w:val="ListBullet"/>
      </w:pPr>
      <w:r>
        <w:t>This document aligns with GDPR requirements and supports APAC data residency expectations.</w:t>
      </w:r>
    </w:p>
    <w:p>
      <w:pPr>
        <w:pStyle w:val="ListBullet"/>
      </w:pPr>
      <w:r>
        <w:t>Regional teams in APAC follow the same policy with localized legal review.</w:t>
      </w:r>
    </w:p>
    <w:p>
      <w:pPr>
        <w:pStyle w:val="ListBullet"/>
      </w:pPr>
      <w:r>
        <w:t>The Legal organization uses Azure to enforce consistent service baselines.</w:t>
      </w:r>
    </w:p>
    <w:p>
      <w:pPr>
        <w:pStyle w:val="Heading1"/>
      </w:pPr>
      <w:r>
        <w:t>Success Metrics</w:t>
      </w:r>
    </w:p>
    <w:p>
      <w:r>
        <w:t>Escalations should follow the on-call rotation with a response target of 45 minutes. Regional teams in APAC follow the same policy with localized legal review. All changes require peer review and validation in the Endpoint Management before production promotion.</w:t>
      </w:r>
    </w:p>
    <w:p>
      <w:pPr>
        <w:pStyle w:val="ListBullet"/>
      </w:pPr>
      <w:r>
        <w:t>This document aligns with GDPR requirements and supports APAC data residency expectations.</w:t>
      </w:r>
    </w:p>
    <w:p>
      <w:pPr>
        <w:pStyle w:val="ListBullet"/>
      </w:pPr>
      <w:r>
        <w:t>Escalations should follow the on-call rotation with a response target of 45 minutes.</w:t>
      </w:r>
    </w:p>
    <w:p>
      <w:pPr>
        <w:pStyle w:val="ListBullet"/>
      </w:pPr>
      <w:r>
        <w:t>All changes require peer review and validation in the Endpoint Management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Patch window</w:t>
            </w:r>
          </w:p>
        </w:tc>
        <w:tc>
          <w:tcPr>
            <w:tcW w:type="dxa" w:w="2880"/>
          </w:tcPr>
          <w:p>
            <w:r>
              <w:t>Compliance Manager</w:t>
            </w:r>
          </w:p>
        </w:tc>
        <w:tc>
          <w:tcPr>
            <w:tcW w:type="dxa" w:w="2880"/>
          </w:tcPr>
          <w:p>
            <w:r>
              <w:t>Blocked</w:t>
            </w:r>
          </w:p>
        </w:tc>
      </w:tr>
      <w:tr>
        <w:tc>
          <w:tcPr>
            <w:tcW w:type="dxa" w:w="2880"/>
          </w:tcPr>
          <w:p>
            <w:r>
              <w:t>Incident drill</w:t>
            </w:r>
          </w:p>
        </w:tc>
        <w:tc>
          <w:tcPr>
            <w:tcW w:type="dxa" w:w="2880"/>
          </w:tcPr>
          <w:p>
            <w:r>
              <w:t>Legal</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