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Legal APAC v2.1</w:t>
      </w:r>
    </w:p>
    <w:p>
      <w:r>
        <w:t>Department: Legal</w:t>
      </w:r>
    </w:p>
    <w:p>
      <w:r>
        <w:t>Author: Alex Lee</w:t>
      </w:r>
    </w:p>
    <w:p>
      <w:r>
        <w:t>Created date: 2024-07-17</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The Legal organization uses Redis to enforce consistent service baselines. This document aligns with ISO 27001 requirements and supports APAC data residency expectations.</w:t>
      </w:r>
    </w:p>
    <w:p>
      <w:pPr>
        <w:pStyle w:val="ListBullet"/>
      </w:pPr>
      <w:r>
        <w:t>Stakeholders include the Procurement Lead, service owner, and compliance lead for approvals.</w:t>
      </w:r>
    </w:p>
    <w:p>
      <w:pPr>
        <w:pStyle w:val="ListBullet"/>
      </w:pPr>
      <w:r>
        <w:t>All changes require peer review and validation in the Ticketing Platform before production promotion.</w:t>
      </w:r>
    </w:p>
    <w:p>
      <w:pPr>
        <w:pStyle w:val="ListBullet"/>
      </w:pPr>
      <w:r>
        <w:t>We prioritize customer impact, data integrity, and regulatory alignment.</w:t>
      </w:r>
    </w:p>
    <w:p>
      <w:pPr>
        <w:pStyle w:val="ListBullet"/>
      </w:pPr>
      <w:r>
        <w:t>Evidence artifacts are retained in Salesforce for at least 24 months.</w:t>
      </w:r>
    </w:p>
    <w:p>
      <w:pPr>
        <w:pStyle w:val="ListBullet"/>
      </w:pPr>
      <w:r>
        <w:t>The Legal team coordinates with Procurement Lead to maintain operational readiness.</w:t>
      </w:r>
    </w:p>
    <w:p>
      <w:pPr>
        <w:pStyle w:val="ListBullet"/>
      </w:pPr>
      <w:r>
        <w:t>This document aligns with ISO 27001 requirements and supports APAC data residency expectations.</w:t>
      </w:r>
    </w:p>
    <w:p>
      <w:pPr>
        <w:pStyle w:val="Heading1"/>
      </w:pPr>
      <w:r>
        <w:t>Day One</w:t>
      </w:r>
    </w:p>
    <w:p>
      <w:r>
        <w:t>All changes require peer review and validation in the Ticketing Platform before production promotion. This document aligns with ISO 27001 requirements and supports APAC data residency expectations. The Legal team coordinates with Procurement Lead to maintain operational readiness.</w:t>
      </w:r>
    </w:p>
    <w:p>
      <w:r>
        <w:t>Evidence artifacts are retained in Salesforce for at least 24 months. Audit sampling occurs monthly and is summarized in leadership dashboards.</w:t>
      </w:r>
    </w:p>
    <w:p>
      <w:pPr>
        <w:pStyle w:val="ListBullet"/>
      </w:pPr>
      <w:r>
        <w:t>Evidence artifacts are retained in Salesforce for at least 24 months.</w:t>
      </w:r>
    </w:p>
    <w:p>
      <w:pPr>
        <w:pStyle w:val="ListBullet"/>
      </w:pPr>
      <w:r>
        <w:t>The Legal team coordinates with Procurement Lead to maintain operational readiness.</w:t>
      </w:r>
    </w:p>
    <w:p>
      <w:pPr>
        <w:pStyle w:val="ListBullet"/>
      </w:pPr>
      <w:r>
        <w:t>Systems are monitored via Redis and alert routing in Salesforce.</w:t>
      </w:r>
    </w:p>
    <w:p>
      <w:pPr>
        <w:pStyle w:val="Heading1"/>
      </w:pPr>
      <w:r>
        <w:t>Access Provisioning</w:t>
      </w:r>
    </w:p>
    <w:p>
      <w:r>
        <w:t>All changes require peer review and validation in the Ticketing Platform before production promotion. Escalations should follow the on-call rotation with a response target of 60 minutes. The Legal organization uses Redis to enforce consistent service baselines.</w:t>
      </w:r>
    </w:p>
    <w:p>
      <w:r>
        <w:t>All incidents are tagged with severity and mapped to service tiers. All changes require peer review and validation in the Ticketing Platform before production promotion. Stakeholders include the Procurement Lead, service owner, and compliance lead for approvals. Evidence artifacts are retained in Salesforce for at least 24 months.</w:t>
      </w:r>
    </w:p>
    <w:p>
      <w:pPr>
        <w:pStyle w:val="ListBullet"/>
      </w:pPr>
      <w:r>
        <w:t>Escalations should follow the on-call rotation with a response target of 60 minutes.</w:t>
      </w:r>
    </w:p>
    <w:p>
      <w:pPr>
        <w:pStyle w:val="ListBullet"/>
      </w:pPr>
      <w:r>
        <w:t>The Legal team coordinates with Procurement Lead to maintain operational readiness.</w:t>
      </w:r>
    </w:p>
    <w:p>
      <w:pPr>
        <w:pStyle w:val="ListBullet"/>
      </w:pPr>
      <w:r>
        <w:t>All incidents are tagged with severity and mapped to service tiers.</w:t>
      </w:r>
    </w:p>
    <w:p>
      <w:pPr>
        <w:pStyle w:val="ListBullet"/>
      </w:pPr>
      <w:r>
        <w:t>Systems are monitored via Redis and alert routing in Salesforce.</w:t>
      </w:r>
    </w:p>
    <w:p>
      <w:pPr>
        <w:pStyle w:val="ListBullet"/>
      </w:pPr>
      <w:r>
        <w:t>Risk acceptance must be documented and revalidated each quarter.</w:t>
      </w:r>
    </w:p>
    <w:p>
      <w:pPr>
        <w:pStyle w:val="ListBullet"/>
      </w:pPr>
      <w:r>
        <w:t>Stakeholders include the Procurement Lead, service owner, and compliance lead for approvals.</w:t>
      </w:r>
    </w:p>
    <w:p>
      <w:pPr>
        <w:pStyle w:val="Heading1"/>
      </w:pPr>
      <w:r>
        <w:t>Training</w:t>
      </w:r>
    </w:p>
    <w:p>
      <w:r>
        <w:t>Systems are monitored via Redis and alert routing in Salesforce. Systems are monitored via Redis and alert routing in Salesforce. We prioritize customer impact, data integrity, and regulatory alignment.</w:t>
      </w:r>
    </w:p>
    <w:p>
      <w:pPr>
        <w:pStyle w:val="ListBullet"/>
      </w:pPr>
      <w:r>
        <w:t>The process integrates with Ticketing Platform and depends on Redis for telemetry signals.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Evidence artifacts are retained in Salesforce for at least 24 months.</w:t>
      </w:r>
    </w:p>
    <w:p>
      <w:pPr>
        <w:pStyle w:val="Heading1"/>
      </w:pPr>
      <w:r>
        <w:t>Success Metrics</w:t>
      </w:r>
    </w:p>
    <w:p>
      <w:r>
        <w:t>This document aligns with ISO 27001 requirements and supports APAC data residency expectations. Risk acceptance must be documented and revalidated each quarter. Teams must log requests in Salesforce and track outcomes in Ticketing Platform for audit readiness. Escalations should follow the on-call rotation with a response target of 60 minutes.</w:t>
      </w:r>
    </w:p>
    <w:p>
      <w:r>
        <w:t>All incidents are tagged with severity and mapped to service tiers. We prioritize customer impact, data integrity, and regulatory alignment. Teams must log requests in Salesforce and track outcomes in Ticketing Platform for audit readiness.</w:t>
      </w:r>
    </w:p>
    <w:p>
      <w:pPr>
        <w:pStyle w:val="ListBullet"/>
      </w:pPr>
      <w:r>
        <w:t>Escalations should follow the on-call rotation with a response target of 60 minutes.</w:t>
      </w:r>
    </w:p>
    <w:p>
      <w:pPr>
        <w:pStyle w:val="ListBullet"/>
      </w:pPr>
      <w:r>
        <w:t>We prioritize customer impact, data integrity, and regulatory alignment.</w:t>
      </w:r>
    </w:p>
    <w:p>
      <w:pPr>
        <w:pStyle w:val="ListBullet"/>
      </w:pPr>
      <w:r>
        <w:t>Stakeholders include the Procurement Lead, service owner, and compliance lead for approvals.</w:t>
      </w:r>
    </w:p>
    <w:p>
      <w:pPr>
        <w:pStyle w:val="ListBullet"/>
      </w:pPr>
      <w:r>
        <w:t>We prioritize customer impact, data integrity, and regulatory alignment.</w:t>
      </w:r>
    </w:p>
    <w:p>
      <w:pPr>
        <w:pStyle w:val="ListBullet"/>
      </w:pPr>
      <w:r>
        <w:t>Stakeholders include the Procurement Lead,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