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Onboarding - Legal EU v1.2</w:t>
      </w:r>
    </w:p>
    <w:p>
      <w:r>
        <w:t>Department: Legal</w:t>
      </w:r>
    </w:p>
    <w:p>
      <w:r>
        <w:t>Author: Casey Lee</w:t>
      </w:r>
    </w:p>
    <w:p>
      <w:r>
        <w:t>Created date: 2026-01-10</w:t>
      </w:r>
    </w:p>
    <w:p>
      <w:r>
        <w:t>Region: EU</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Pre-Start Checklist</w:t>
      </w:r>
    </w:p>
    <w:p>
      <w:r>
        <w:t>Systems are monitored via Redis and alert routing in SAP. Risk acceptance must be documented and revalidated each quarter.</w:t>
      </w:r>
    </w:p>
    <w:p>
      <w:r>
        <w:t>Escalations should follow the on-call rotation with a response target of 30 minutes. Escalations should follow the on-call rotation with a response target of 30 minutes. Escalations should follow the on-call rotation with a response target of 30 minutes.</w:t>
      </w:r>
    </w:p>
    <w:p>
      <w:pPr>
        <w:pStyle w:val="ListBullet"/>
      </w:pPr>
      <w:r>
        <w:t>All changes require peer review and validation in the Endpoint Management before production promotion.</w:t>
      </w:r>
    </w:p>
    <w:p>
      <w:pPr>
        <w:pStyle w:val="ListBullet"/>
      </w:pPr>
      <w:r>
        <w:t>Stakeholders include the Platform Engineer, service owner, and compliance lead for approvals.</w:t>
      </w:r>
    </w:p>
    <w:p>
      <w:pPr>
        <w:pStyle w:val="ListBullet"/>
      </w:pPr>
      <w:r>
        <w:t>Systems are monitored via Redis and alert routing in SAP.</w:t>
      </w:r>
    </w:p>
    <w:p>
      <w:pPr>
        <w:pStyle w:val="ListBullet"/>
      </w:pPr>
      <w:r>
        <w:t>This document aligns with GDPR requirements and supports EU data residency expectations.</w:t>
      </w:r>
    </w:p>
    <w:p>
      <w:pPr>
        <w:pStyle w:val="ListBullet"/>
      </w:pPr>
      <w:r>
        <w:t>Teams must log requests in SAP and track outcomes in Endpoint Management for audit readiness.</w:t>
      </w:r>
    </w:p>
    <w:p>
      <w:pPr>
        <w:pStyle w:val="Heading1"/>
      </w:pPr>
      <w:r>
        <w:t>Day One</w:t>
      </w:r>
    </w:p>
    <w:p>
      <w:r>
        <w:t>All incidents are tagged with severity and mapped to service tiers. Teams must log requests in SAP and track outcomes in Endpoint Management for audit readiness. The Legal team coordinates with Platform Engineer to maintain operational readiness. The process integrates with Endpoint Management and depends on Redis for telemetry signals.</w:t>
      </w:r>
    </w:p>
    <w:p>
      <w:r>
        <w:t>We prioritize customer impact, data integrity, and regulatory alignment. Audit sampling occurs monthly and is summarized in leadership dashboards.</w:t>
      </w:r>
    </w:p>
    <w:p>
      <w:pPr>
        <w:pStyle w:val="ListBullet"/>
      </w:pPr>
      <w:r>
        <w:t>All incidents are tagged with severity and mapped to service tiers.</w:t>
      </w:r>
    </w:p>
    <w:p>
      <w:pPr>
        <w:pStyle w:val="ListBullet"/>
      </w:pPr>
      <w:r>
        <w:t>We prioritize customer impact, data integrity, and regulatory alignment.</w:t>
      </w:r>
    </w:p>
    <w:p>
      <w:pPr>
        <w:pStyle w:val="ListBullet"/>
      </w:pPr>
      <w:r>
        <w:t>This document aligns with GDPR requirements and supports EU data residency expectations.</w:t>
      </w:r>
    </w:p>
    <w:p>
      <w:pPr>
        <w:pStyle w:val="ListBullet"/>
      </w:pPr>
      <w:r>
        <w:t>The Legal team coordinates with Platform Engineer to maintain operational readiness.</w:t>
      </w:r>
    </w:p>
    <w:p>
      <w:pPr>
        <w:pStyle w:val="ListBullet"/>
      </w:pPr>
      <w:r>
        <w:t>Audit sampling occurs monthly and is summarized in leadership dashboards.</w:t>
      </w:r>
    </w:p>
    <w:p>
      <w:pPr>
        <w:pStyle w:val="ListBullet"/>
      </w:pPr>
      <w:r>
        <w:t>This document aligns with GDPR requirements and supports EU data residency expectations.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Operations</w:t>
            </w:r>
          </w:p>
        </w:tc>
        <w:tc>
          <w:tcPr>
            <w:tcW w:type="dxa" w:w="2880"/>
          </w:tcPr>
          <w:p>
            <w:r>
              <w:t>Planned</w:t>
            </w:r>
          </w:p>
        </w:tc>
      </w:tr>
      <w:tr>
        <w:tc>
          <w:tcPr>
            <w:tcW w:type="dxa" w:w="2880"/>
          </w:tcPr>
          <w:p>
            <w:r>
              <w:t>Incident drill</w:t>
            </w:r>
          </w:p>
        </w:tc>
        <w:tc>
          <w:tcPr>
            <w:tcW w:type="dxa" w:w="2880"/>
          </w:tcPr>
          <w:p>
            <w:r>
              <w:t>Operations</w:t>
            </w:r>
          </w:p>
        </w:tc>
        <w:tc>
          <w:tcPr>
            <w:tcW w:type="dxa" w:w="2880"/>
          </w:tcPr>
          <w:p>
            <w:r>
              <w:t>In Progress</w:t>
            </w:r>
          </w:p>
        </w:tc>
      </w:tr>
      <w:tr>
        <w:tc>
          <w:tcPr>
            <w:tcW w:type="dxa" w:w="2880"/>
          </w:tcPr>
          <w:p>
            <w:r>
              <w:t>Patch window</w:t>
            </w:r>
          </w:p>
        </w:tc>
        <w:tc>
          <w:tcPr>
            <w:tcW w:type="dxa" w:w="2880"/>
          </w:tcPr>
          <w:p>
            <w:r>
              <w:t>Security</w:t>
            </w:r>
          </w:p>
        </w:tc>
        <w:tc>
          <w:tcPr>
            <w:tcW w:type="dxa" w:w="2880"/>
          </w:tcPr>
          <w:p>
            <w:r>
              <w:t>Complete</w:t>
            </w:r>
          </w:p>
        </w:tc>
      </w:tr>
    </w:tbl>
    <w:p>
      <w:pPr>
        <w:pStyle w:val="Heading1"/>
      </w:pPr>
      <w:r>
        <w:t>Access Provisioning</w:t>
      </w:r>
    </w:p>
    <w:p>
      <w:r>
        <w:t>Escalations should follow the on-call rotation with a response target of 30 minutes. All changes require peer review and validation in the Endpoint Management before production promotion. All incidents are tagged with severity and mapped to service tiers. This document aligns with GDPR requirements and supports EU data residency expectations.</w:t>
      </w:r>
    </w:p>
    <w:p>
      <w:r>
        <w:t>The process integrates with Endpoint Management and depends on Redis for telemetry signals. Evidence artifacts are retained in SAP for at least 36 months.</w:t>
      </w:r>
    </w:p>
    <w:p>
      <w:pPr>
        <w:pStyle w:val="ListBullet"/>
      </w:pPr>
      <w:r>
        <w:t>Teams must log requests in SAP and track outcomes in Endpoint Management for audit readiness.</w:t>
      </w:r>
    </w:p>
    <w:p>
      <w:pPr>
        <w:pStyle w:val="ListBullet"/>
      </w:pPr>
      <w:r>
        <w:t>We prioritize customer impact, data integrity, and regulatory alignment.</w:t>
      </w:r>
    </w:p>
    <w:p>
      <w:pPr>
        <w:pStyle w:val="ListBullet"/>
      </w:pPr>
      <w:r>
        <w:t>This document aligns with GDPR requirements and supports EU data residency expectations.</w:t>
      </w:r>
    </w:p>
    <w:p>
      <w:pPr>
        <w:pStyle w:val="Heading1"/>
      </w:pPr>
      <w:r>
        <w:t>Training</w:t>
      </w:r>
    </w:p>
    <w:p>
      <w:r>
        <w:t>The Legal team coordinates with Platform Engineer to maintain operational readiness. Evidence artifacts are retained in SAP for at least 36 months.</w:t>
      </w:r>
    </w:p>
    <w:p>
      <w:r>
        <w:t>We prioritize customer impact, data integrity, and regulatory alignment. Teams must log requests in SAP and track outcomes in Endpoint Management for audit readiness. The process integrates with Endpoint Management and depends on Redis for telemetry signals. Regional teams in EU follow the same policy with localized legal review.</w:t>
      </w:r>
    </w:p>
    <w:p>
      <w:pPr>
        <w:pStyle w:val="ListBullet"/>
      </w:pPr>
      <w:r>
        <w:t>This document aligns with GDPR requirements and supports EU data residency expectations.</w:t>
      </w:r>
    </w:p>
    <w:p>
      <w:pPr>
        <w:pStyle w:val="ListBullet"/>
      </w:pPr>
      <w:r>
        <w:t>Systems are monitored via Redis and alert routing in SAP.</w:t>
      </w:r>
    </w:p>
    <w:p>
      <w:pPr>
        <w:pStyle w:val="ListBullet"/>
      </w:pPr>
      <w:r>
        <w:t>Stakeholders include the Platform Engineer, service owner, and compliance lead for approvals.</w:t>
      </w:r>
    </w:p>
    <w:p>
      <w:pPr>
        <w:pStyle w:val="ListBullet"/>
      </w:pPr>
      <w:r>
        <w:t>The Legal team coordinates with Platform Engineer to maintain operational readiness.</w:t>
      </w:r>
    </w:p>
    <w:p>
      <w:pPr>
        <w:pStyle w:val="Heading1"/>
      </w:pPr>
      <w:r>
        <w:t>Success Metrics</w:t>
      </w:r>
    </w:p>
    <w:p>
      <w:r>
        <w:t>The process integrates with Endpoint Management and depends on Redis for telemetry signals. Evidence artifacts are retained in SAP for at least 36 months. Audit sampling occurs monthly and is summarized in leadership dashboards. Stakeholders include the Platform Engineer, service owner, and compliance lead for approvals.</w:t>
      </w:r>
    </w:p>
    <w:p>
      <w:pPr>
        <w:pStyle w:val="ListBullet"/>
      </w:pPr>
      <w:r>
        <w:t>Evidence artifacts are retained in SAP for at least 36 months.</w:t>
      </w:r>
    </w:p>
    <w:p>
      <w:pPr>
        <w:pStyle w:val="ListBullet"/>
      </w:pPr>
      <w:r>
        <w:t>The process integrates with Endpoint Management and depends on Redis for telemetry signals.</w:t>
      </w:r>
    </w:p>
    <w:p>
      <w:pPr>
        <w:pStyle w:val="ListBullet"/>
      </w:pPr>
      <w:r>
        <w:t>Systems are monitored via Redis and alert routing in SAP.</w:t>
      </w:r>
    </w:p>
    <w:p>
      <w:pPr>
        <w:pStyle w:val="ListBullet"/>
      </w:pPr>
      <w:r>
        <w:t>Audit sampling occurs monthly and is summarized in leadership dashboards.</w:t>
      </w:r>
    </w:p>
    <w:p>
      <w:pPr>
        <w:pStyle w:val="ListBullet"/>
      </w:pPr>
      <w:r>
        <w:t>Audit sampling occurs monthly and is summarized in leadership dashboards.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