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US v1.1</w:t>
      </w:r>
    </w:p>
    <w:p>
      <w:r>
        <w:t>Department: Legal</w:t>
      </w:r>
    </w:p>
    <w:p>
      <w:r>
        <w:t>Author: Casey Nguyen</w:t>
      </w:r>
    </w:p>
    <w:p>
      <w:r>
        <w:t>Created date: 2026-01-18</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Risk acceptance must be documented and revalidated each quarter. All incidents are tagged with severity and mapped to service tiers. The Legal organization uses Snowflake to enforce consistent service baselines.</w:t>
      </w:r>
    </w:p>
    <w:p>
      <w:r>
        <w:t>Stakeholders include the HR Business Partner, service owner, and compliance lead for approvals. The Legal organization uses Snowflake to enforce consistent service baselines. This document aligns with GDPR requirements and supports US data residency expectations. Risk acceptance must be documented and revalidated each quarter.</w:t>
      </w:r>
    </w:p>
    <w:p>
      <w:pPr>
        <w:pStyle w:val="ListBullet"/>
      </w:pPr>
      <w:r>
        <w:t>The Legal organization uses Snowflake to enforce consistent service baselines.</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Heading1"/>
      </w:pPr>
      <w:r>
        <w:t>Day One</w:t>
      </w:r>
    </w:p>
    <w:p>
      <w:r>
        <w:t>Systems are monitored via Snowflake and alert routing in Jira. We prioritize customer impact, data integrity, and regulatory alignment. Escalations should follow the on-call rotation with a response target of 45 minutes. Systems are monitored via Snowflake and alert routing in Jira.</w:t>
      </w:r>
    </w:p>
    <w:p>
      <w:pPr>
        <w:pStyle w:val="ListBullet"/>
      </w:pPr>
      <w:r>
        <w:t>Stakeholders include the HR Business Partner, service owner, and compliance lead for approvals.</w:t>
      </w:r>
    </w:p>
    <w:p>
      <w:pPr>
        <w:pStyle w:val="ListBullet"/>
      </w:pPr>
      <w:r>
        <w:t>The Legal organization uses Snowflake to enforce consistent service baselines.</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Heading1"/>
      </w:pPr>
      <w:r>
        <w:t>Access Provisioning</w:t>
      </w:r>
    </w:p>
    <w:p>
      <w:r>
        <w:t>The Legal team coordinates with HR Business Partner to maintain operational readiness. Risk acceptance must be documented and revalidated each quarter.</w:t>
      </w:r>
    </w:p>
    <w:p>
      <w:r>
        <w:t>Stakeholders include the HR Business Partner, service owner, and compliance lead for approvals. All incidents are tagged with severity and mapped to service tiers. We prioritize customer impact, data integrity, and regulatory alignment. All changes require peer review and validation in the Payment Processing Service before production promotion.</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Legal organization uses Snowflake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bl>
    <w:p>
      <w:pPr>
        <w:pStyle w:val="Heading1"/>
      </w:pPr>
      <w:r>
        <w:t>Training</w:t>
      </w:r>
    </w:p>
    <w:p>
      <w:r>
        <w:t>Escalations should follow the on-call rotation with a response target of 45 minutes. All incidents are tagged with severity and mapped to service tiers. Systems are monitored via Snowflake and alert routing in Jira. We prioritize customer impact, data integrity, and regulatory alignment.</w:t>
      </w:r>
    </w:p>
    <w:p>
      <w:r>
        <w:t>All incidents are tagged with severity and mapped to service tiers. The process integrates with Payment Processing Service and depends on Snowflake for telemetry signals.</w:t>
      </w:r>
    </w:p>
    <w:p>
      <w:pPr>
        <w:pStyle w:val="ListBullet"/>
      </w:pPr>
      <w:r>
        <w:t>Stakeholders include the HR Business Partner, service owner, and compliance lead for approvals.</w:t>
      </w:r>
    </w:p>
    <w:p>
      <w:pPr>
        <w:pStyle w:val="ListBullet"/>
      </w:pPr>
      <w:r>
        <w:t>Evidence artifacts are retained in Jira for at least 24 months.</w:t>
      </w:r>
    </w:p>
    <w:p>
      <w:pPr>
        <w:pStyle w:val="ListBullet"/>
      </w:pPr>
      <w:r>
        <w:t>The process integrates with Payment Processing Service and depends on Snowflake for telemetry signals.</w:t>
      </w:r>
    </w:p>
    <w:p>
      <w:pPr>
        <w:pStyle w:val="ListBullet"/>
      </w:pPr>
      <w:r>
        <w:t>Teams must log requests in Jira and track outcomes in Payment Processing Service for audit readiness.</w:t>
      </w:r>
    </w:p>
    <w:p>
      <w:pPr>
        <w:pStyle w:val="Heading1"/>
      </w:pPr>
      <w:r>
        <w:t>Success Metrics</w:t>
      </w:r>
    </w:p>
    <w:p>
      <w:r>
        <w:t>Stakeholders include the HR Business Partner, service owner, and compliance lead for approvals. Teams must log requests in Jira and track outcomes in Payment Processing Service for audit readiness. All changes require peer review and validation in the Payment Processing Service before production promotion. This document aligns with GDPR requirements and supports US data residency expectations.</w:t>
      </w:r>
    </w:p>
    <w:p>
      <w:r>
        <w:t>This document aligns with GDPR requirements and supports US data residency expectations. The process integrates with Payment Processing Service and depends on Snowflake for telemetry signals.</w:t>
      </w:r>
    </w:p>
    <w:p>
      <w:pPr>
        <w:pStyle w:val="ListBullet"/>
      </w:pPr>
      <w:r>
        <w:t>Audit sampling occurs monthly and is summarized in leadership dashboards.</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