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Operations US v1.0</w:t>
      </w:r>
    </w:p>
    <w:p>
      <w:r>
        <w:t>Department: Operations</w:t>
      </w:r>
    </w:p>
    <w:p>
      <w:r>
        <w:t>Author: Alex Smith</w:t>
      </w:r>
    </w:p>
    <w:p>
      <w:r>
        <w:t>Created date: 2025-08-07</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Audit sampling occurs monthly and is summarized in leadership dashboards. Risk acceptance must be documented and revalidated each quarter.</w:t>
      </w:r>
    </w:p>
    <w:p>
      <w:r>
        <w:t>Evidence artifacts are retained in SAP for at least 36 months. All incidents are tagged with severity and mapped to service tiers.</w:t>
      </w:r>
    </w:p>
    <w:p>
      <w:pPr>
        <w:pStyle w:val="ListBullet"/>
      </w:pPr>
      <w:r>
        <w:t>All incidents are tagged with severity and mapped to service tiers.</w:t>
      </w:r>
    </w:p>
    <w:p>
      <w:pPr>
        <w:pStyle w:val="ListBullet"/>
      </w:pPr>
      <w:r>
        <w:t>Escalations should follow the on-call rotation with a response target of 60 minutes.</w:t>
      </w:r>
    </w:p>
    <w:p>
      <w:pPr>
        <w:pStyle w:val="ListBullet"/>
      </w:pPr>
      <w:r>
        <w:t>Systems are monitored via Vault and alert routing in SAP.</w:t>
      </w:r>
    </w:p>
    <w:p>
      <w:pPr>
        <w:pStyle w:val="ListBullet"/>
      </w:pPr>
      <w:r>
        <w:t>Risk acceptance must be documented and revalidated each quarter.</w:t>
      </w:r>
    </w:p>
    <w:p>
      <w:pPr>
        <w:pStyle w:val="ListBullet"/>
      </w:pPr>
      <w:r>
        <w:t>Regional teams in US follow the same policy with localized legal review.</w:t>
      </w:r>
    </w:p>
    <w:p>
      <w:pPr>
        <w:pStyle w:val="Heading1"/>
      </w:pPr>
      <w:r>
        <w:t>Day One</w:t>
      </w:r>
    </w:p>
    <w:p>
      <w:r>
        <w:t>Teams must log requests in SAP and track outcomes in CRM Platform for audit readiness. This document aligns with HIPAA requirements and supports US data residency expectations. Risk acceptance must be documented and revalidated each quarter.</w:t>
      </w:r>
    </w:p>
    <w:p>
      <w:r>
        <w:t>The Operations organization uses Vault to enforce consistent service baselines. The Operations team coordinates with SRE to maintain operational readiness. Escalations should follow the on-call rotation with a response target of 60 minutes.</w:t>
      </w:r>
    </w:p>
    <w:p>
      <w:pPr>
        <w:pStyle w:val="ListBullet"/>
      </w:pPr>
      <w:r>
        <w:t>All incidents are tagged with severity and mapped to service tiers.</w:t>
      </w:r>
    </w:p>
    <w:p>
      <w:pPr>
        <w:pStyle w:val="ListBullet"/>
      </w:pPr>
      <w:r>
        <w:t>Systems are monitored via Vault and alert routing in SAP.</w:t>
      </w:r>
    </w:p>
    <w:p>
      <w:pPr>
        <w:pStyle w:val="ListBullet"/>
      </w:pPr>
      <w:r>
        <w:t>Systems are monitored via Vault and alert routing in SAP.</w:t>
      </w:r>
    </w:p>
    <w:p>
      <w:pPr>
        <w:pStyle w:val="Heading1"/>
      </w:pPr>
      <w:r>
        <w:t>Access Provisioning</w:t>
      </w:r>
    </w:p>
    <w:p>
      <w:r>
        <w:t>Stakeholders include the SRE, service owner, and compliance lead for approvals. Teams must log requests in SAP and track outcomes in CRM Platform for audit readiness. Audit sampling occurs monthly and is summarized in leadership dashboards. Systems are monitored via Vault and alert routing in SAP.</w:t>
      </w:r>
    </w:p>
    <w:p>
      <w:r>
        <w:t>This document aligns with HIPAA requirements and supports US data residency expectations. Audit sampling occurs monthly and is summarized in leadership dashboards.</w:t>
      </w:r>
    </w:p>
    <w:p>
      <w:pPr>
        <w:pStyle w:val="ListBullet"/>
      </w:pPr>
      <w:r>
        <w:t>Regional teams in US follow the same policy with localized legal review.</w:t>
      </w:r>
    </w:p>
    <w:p>
      <w:pPr>
        <w:pStyle w:val="ListBullet"/>
      </w:pPr>
      <w:r>
        <w:t>This document aligns with HIPAA requirements and supports US data residency expectations.</w:t>
      </w:r>
    </w:p>
    <w:p>
      <w:pPr>
        <w:pStyle w:val="ListBullet"/>
      </w:pPr>
      <w:r>
        <w:t>All incidents are tagged with severity and mapped to service tiers.</w:t>
      </w:r>
    </w:p>
    <w:p>
      <w:pPr>
        <w:pStyle w:val="ListBullet"/>
      </w:pPr>
      <w:r>
        <w:t>The Operations team coordinates with SRE to maintain operational readiness.</w:t>
      </w:r>
    </w:p>
    <w:p>
      <w:pPr>
        <w:pStyle w:val="Heading1"/>
      </w:pPr>
      <w:r>
        <w:t>Training</w:t>
      </w:r>
    </w:p>
    <w:p>
      <w:r>
        <w:t>Evidence artifacts are retained in SAP for at least 36 months. All incidents are tagged with severity and mapped to service tiers. All incidents are tagged with severity and mapped to service tiers. The process integrates with CRM Platform and depends on Vault for telemetry signals.</w:t>
      </w:r>
    </w:p>
    <w:p>
      <w:pPr>
        <w:pStyle w:val="ListBullet"/>
      </w:pPr>
      <w:r>
        <w:t>All changes require peer review and validation in the CRM Platform before production promotion.</w:t>
      </w:r>
    </w:p>
    <w:p>
      <w:pPr>
        <w:pStyle w:val="ListBullet"/>
      </w:pPr>
      <w:r>
        <w:t>Evidence artifacts are retained in SAP for at least 36 months.</w:t>
      </w:r>
    </w:p>
    <w:p>
      <w:pPr>
        <w:pStyle w:val="ListBullet"/>
      </w:pPr>
      <w:r>
        <w:t>All incidents are tagged with severity and mapped to service tiers.</w:t>
      </w:r>
    </w:p>
    <w:p>
      <w:pPr>
        <w:pStyle w:val="ListBullet"/>
      </w:pPr>
      <w:r>
        <w:t>Teams must log requests in SAP and track outcomes in CRM Platform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Patch window</w:t>
            </w:r>
          </w:p>
        </w:tc>
        <w:tc>
          <w:tcPr>
            <w:tcW w:type="dxa" w:w="2880"/>
          </w:tcPr>
          <w:p>
            <w:r>
              <w:t>SRE</w:t>
            </w:r>
          </w:p>
        </w:tc>
        <w:tc>
          <w:tcPr>
            <w:tcW w:type="dxa" w:w="2880"/>
          </w:tcPr>
          <w:p>
            <w:r>
              <w:t>Blocked</w:t>
            </w:r>
          </w:p>
        </w:tc>
      </w:tr>
    </w:tbl>
    <w:p>
      <w:pPr>
        <w:pStyle w:val="Heading1"/>
      </w:pPr>
      <w:r>
        <w:t>Success Metrics</w:t>
      </w:r>
    </w:p>
    <w:p>
      <w:r>
        <w:t>Stakeholders include the SRE, service owner, and compliance lead for approvals. Systems are monitored via Vault and alert routing in SAP. The process integrates with CRM Platform and depends on Vault for telemetry signals. Audit sampling occurs monthly and is summarized in leadership dashboards.</w:t>
      </w:r>
    </w:p>
    <w:p>
      <w:r>
        <w:t>All incidents are tagged with severity and mapped to service tiers. The Operations organization uses Vault to enforce consistent service baselines.</w:t>
      </w:r>
    </w:p>
    <w:p>
      <w:pPr>
        <w:pStyle w:val="ListBullet"/>
      </w:pPr>
      <w:r>
        <w:t>Evidence artifacts are retained in SAP for at least 36 months.</w:t>
      </w:r>
    </w:p>
    <w:p>
      <w:pPr>
        <w:pStyle w:val="ListBullet"/>
      </w:pPr>
      <w:r>
        <w:t>Evidence artifacts are retained in SAP for at least 36 months.</w:t>
      </w:r>
    </w:p>
    <w:p>
      <w:pPr>
        <w:pStyle w:val="ListBullet"/>
      </w:pPr>
      <w:r>
        <w:t>Audit sampling occurs monthly and is summarized in leadership dashboards.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