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Procurement APAC v2.0</w:t>
      </w:r>
    </w:p>
    <w:p>
      <w:r>
        <w:t>Department: Procurement</w:t>
      </w:r>
    </w:p>
    <w:p>
      <w:r>
        <w:t>Author: Alex Garcia</w:t>
      </w:r>
    </w:p>
    <w:p>
      <w:r>
        <w:t>Created date: 2025-06-27</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Procurement team coordinates with Procurement Lead to maintain operational readiness. The process integrates with CI/CD Pipeline and depends on Okta for telemetry signals. This document aligns with GDPR requirements and supports APAC data residency expectations.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The process integrates with CI/CD Pipeline and depends on Okta for telemetry signals.</w:t>
      </w:r>
    </w:p>
    <w:p>
      <w:pPr>
        <w:pStyle w:val="ListBullet"/>
      </w:pPr>
      <w:r>
        <w:t>Regional teams in APAC follow the same policy with localized legal review.</w:t>
      </w:r>
    </w:p>
    <w:p>
      <w:pPr>
        <w:pStyle w:val="ListBullet"/>
      </w:pPr>
      <w:r>
        <w:t>All changes require peer review and validation in the CI/CD Pipeline before production promotion.</w:t>
      </w:r>
    </w:p>
    <w:p>
      <w:pPr>
        <w:pStyle w:val="ListBullet"/>
      </w:pPr>
      <w:r>
        <w:t>Evidence artifacts are retained in Slack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Access review</w:t>
            </w:r>
          </w:p>
        </w:tc>
        <w:tc>
          <w:tcPr>
            <w:tcW w:type="dxa" w:w="2880"/>
          </w:tcPr>
          <w:p>
            <w:r>
              <w:t>Procurement</w:t>
            </w:r>
          </w:p>
        </w:tc>
        <w:tc>
          <w:tcPr>
            <w:tcW w:type="dxa" w:w="2880"/>
          </w:tcPr>
          <w:p>
            <w:r>
              <w:t>Blocked</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Backup validation</w:t>
            </w:r>
          </w:p>
        </w:tc>
        <w:tc>
          <w:tcPr>
            <w:tcW w:type="dxa" w:w="2880"/>
          </w:tcPr>
          <w:p>
            <w:r>
              <w:t>Procurement Lead</w:t>
            </w:r>
          </w:p>
        </w:tc>
        <w:tc>
          <w:tcPr>
            <w:tcW w:type="dxa" w:w="2880"/>
          </w:tcPr>
          <w:p>
            <w:r>
              <w:t>Planned</w:t>
            </w:r>
          </w:p>
        </w:tc>
      </w:tr>
    </w:tbl>
    <w:p>
      <w:pPr>
        <w:pStyle w:val="Heading1"/>
      </w:pPr>
      <w:r>
        <w:t>Day One</w:t>
      </w:r>
    </w:p>
    <w:p>
      <w:r>
        <w:t>Systems are monitored via Okta and alert routing in Slack. The process integrates with CI/CD Pipeline and depends on Okta for telemetry signals.</w:t>
      </w:r>
    </w:p>
    <w:p>
      <w:r>
        <w:t>Regional teams in APAC follow the same policy with localized legal review. Systems are monitored via Okta and alert routing in Slack. All incidents are tagged with severity and mapped to service tiers.</w:t>
      </w:r>
    </w:p>
    <w:p>
      <w:pPr>
        <w:pStyle w:val="ListBullet"/>
      </w:pPr>
      <w:r>
        <w:t>All incidents are tagged with severity and mapped to service tiers.</w:t>
      </w:r>
    </w:p>
    <w:p>
      <w:pPr>
        <w:pStyle w:val="ListBullet"/>
      </w:pPr>
      <w:r>
        <w:t>The Procurement organization uses Okta to enforce consistent service baselines.</w:t>
      </w:r>
    </w:p>
    <w:p>
      <w:pPr>
        <w:pStyle w:val="ListBullet"/>
      </w:pPr>
      <w:r>
        <w:t>This document aligns with GDPR requirements and supports APAC data residency expectations.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Heading1"/>
      </w:pPr>
      <w:r>
        <w:t>Access Provisioning</w:t>
      </w:r>
    </w:p>
    <w:p>
      <w:r>
        <w:t>The Procurement organization uses Okta to enforce consistent service baselines. All incidents are tagged with severity and mapped to service tiers.</w:t>
      </w:r>
    </w:p>
    <w:p>
      <w:pPr>
        <w:pStyle w:val="ListBullet"/>
      </w:pPr>
      <w:r>
        <w:t>Evidence artifacts are retained in Slack for at least 36 months.</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ListBullet"/>
      </w:pPr>
      <w:r>
        <w:t>Teams must log requests in Slack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Patch window</w:t>
            </w:r>
          </w:p>
        </w:tc>
        <w:tc>
          <w:tcPr>
            <w:tcW w:type="dxa" w:w="2880"/>
          </w:tcPr>
          <w:p>
            <w:r>
              <w:t>Procurement</w:t>
            </w:r>
          </w:p>
        </w:tc>
        <w:tc>
          <w:tcPr>
            <w:tcW w:type="dxa" w:w="2880"/>
          </w:tcPr>
          <w:p>
            <w:r>
              <w:t>In Progress</w:t>
            </w:r>
          </w:p>
        </w:tc>
      </w:tr>
    </w:tbl>
    <w:p>
      <w:pPr>
        <w:pStyle w:val="Heading1"/>
      </w:pPr>
      <w:r>
        <w:t>Training</w:t>
      </w:r>
    </w:p>
    <w:p>
      <w:r>
        <w:t>Systems are monitored via Okta and alert routing in Slack. All incidents are tagged with severity and mapped to service tiers. Audit sampling occurs monthly and is summarized in leadership dashboards. Escalations should follow the on-call rotation with a response target of 30 minutes.</w:t>
      </w:r>
    </w:p>
    <w:p>
      <w:pPr>
        <w:pStyle w:val="ListBullet"/>
      </w:pPr>
      <w:r>
        <w:t>The Procurement team coordinates with Procurement Lead to maintain operational readiness.</w:t>
      </w:r>
    </w:p>
    <w:p>
      <w:pPr>
        <w:pStyle w:val="ListBullet"/>
      </w:pPr>
      <w:r>
        <w:t>The Procurement organization uses Okta to enforce consistent service baselines.</w:t>
      </w:r>
    </w:p>
    <w:p>
      <w:pPr>
        <w:pStyle w:val="ListBullet"/>
      </w:pPr>
      <w:r>
        <w:t>Escalations should follow the on-call rotation with a response target of 30 minutes.</w:t>
      </w:r>
    </w:p>
    <w:p>
      <w:pPr>
        <w:pStyle w:val="ListBullet"/>
      </w:pPr>
      <w:r>
        <w:t>Regional teams in APAC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Planned</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Incident drill</w:t>
            </w:r>
          </w:p>
        </w:tc>
        <w:tc>
          <w:tcPr>
            <w:tcW w:type="dxa" w:w="2880"/>
          </w:tcPr>
          <w:p>
            <w:r>
              <w:t>Procurement Lead</w:t>
            </w:r>
          </w:p>
        </w:tc>
        <w:tc>
          <w:tcPr>
            <w:tcW w:type="dxa" w:w="2880"/>
          </w:tcPr>
          <w:p>
            <w:r>
              <w:t>Blocked</w:t>
            </w:r>
          </w:p>
        </w:tc>
      </w:tr>
    </w:tbl>
    <w:p>
      <w:pPr>
        <w:pStyle w:val="Heading1"/>
      </w:pPr>
      <w:r>
        <w:t>Success Metrics</w:t>
      </w:r>
    </w:p>
    <w:p>
      <w:r>
        <w:t>The Procurement team coordinates with Procurement Lead to maintain operational readiness. Escalations should follow the on-call rotation with a response target of 30 minutes. The Procurement organization uses Okta to enforce consistent service baselines.</w:t>
      </w:r>
    </w:p>
    <w:p>
      <w:pPr>
        <w:pStyle w:val="ListBullet"/>
      </w:pPr>
      <w:r>
        <w:t>Regional teams in APAC follow the same policy with localized legal review.</w:t>
      </w:r>
    </w:p>
    <w:p>
      <w:pPr>
        <w:pStyle w:val="ListBullet"/>
      </w:pPr>
      <w:r>
        <w:t>Risk acceptance must be documented and revalidated each quarter.</w:t>
      </w:r>
    </w:p>
    <w:p>
      <w:pPr>
        <w:pStyle w:val="ListBullet"/>
      </w:pPr>
      <w:r>
        <w:t>Systems are monitored via Okta and alert routing in Slack.</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 Lead</w:t>
            </w:r>
          </w:p>
        </w:tc>
        <w:tc>
          <w:tcPr>
            <w:tcW w:type="dxa" w:w="2880"/>
          </w:tcPr>
          <w:p>
            <w:r>
              <w:t>Complete</w:t>
            </w:r>
          </w:p>
        </w:tc>
      </w:tr>
      <w:tr>
        <w:tc>
          <w:tcPr>
            <w:tcW w:type="dxa" w:w="2880"/>
          </w:tcPr>
          <w:p>
            <w:r>
              <w:t>Incident drill</w:t>
            </w:r>
          </w:p>
        </w:tc>
        <w:tc>
          <w:tcPr>
            <w:tcW w:type="dxa" w:w="2880"/>
          </w:tcPr>
          <w:p>
            <w:r>
              <w:t>Procurement Lead</w:t>
            </w:r>
          </w:p>
        </w:tc>
        <w:tc>
          <w:tcPr>
            <w:tcW w:type="dxa" w:w="2880"/>
          </w:tcPr>
          <w:p>
            <w:r>
              <w:t>Blocked</w:t>
            </w:r>
          </w:p>
        </w:tc>
      </w:tr>
      <w:tr>
        <w:tc>
          <w:tcPr>
            <w:tcW w:type="dxa" w:w="2880"/>
          </w:tcPr>
          <w:p>
            <w:r>
              <w:t>Access review</w:t>
            </w:r>
          </w:p>
        </w:tc>
        <w:tc>
          <w:tcPr>
            <w:tcW w:type="dxa" w:w="2880"/>
          </w:tcPr>
          <w:p>
            <w:r>
              <w:t>Procurement Lead</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