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Procurement US v2.1</w:t>
      </w:r>
    </w:p>
    <w:p>
      <w:r>
        <w:t>Department: Procurement</w:t>
      </w:r>
    </w:p>
    <w:p>
      <w:r>
        <w:t>Author: Jordan Smith</w:t>
      </w:r>
    </w:p>
    <w:p>
      <w:r>
        <w:t>Created date: 2025-06-19</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Procurement organization uses ServiceNow to enforce consistent service baselines. This document aligns with SOC 2 requirements and supports US data residency expectations. Risk acceptance must be documented and revalidated each quarter. Regional teams in US follow the same policy with localized legal review.</w:t>
      </w:r>
    </w:p>
    <w:p>
      <w:r>
        <w:t>Risk acceptance must be documented and revalidated each quarter. Regional teams in US follow the same policy with localized legal review. All changes require peer review and validation in the Endpoint Management before production promotion. The Procurement team coordinates with HR Business Partner to maintain operational readiness.</w:t>
      </w:r>
    </w:p>
    <w:p>
      <w:pPr>
        <w:pStyle w:val="ListBullet"/>
      </w:pPr>
      <w:r>
        <w:t>All changes require peer review and validation in the Endpoint Management before production promotion.</w:t>
      </w:r>
    </w:p>
    <w:p>
      <w:pPr>
        <w:pStyle w:val="ListBullet"/>
      </w:pPr>
      <w:r>
        <w:t>Audit sampling occurs monthly and is summarized in leadership dashboards.</w:t>
      </w:r>
    </w:p>
    <w:p>
      <w:pPr>
        <w:pStyle w:val="ListBullet"/>
      </w:pPr>
      <w:r>
        <w:t>The Procurement organization uses ServiceNow to enforce consistent service baselines.</w:t>
      </w:r>
    </w:p>
    <w:p>
      <w:pPr>
        <w:pStyle w:val="ListBullet"/>
      </w:pPr>
      <w:r>
        <w:t>Evidence artifacts are retained in Workday for at least 12 months.</w:t>
      </w:r>
    </w:p>
    <w:p>
      <w:pPr>
        <w:pStyle w:val="ListBullet"/>
      </w:pPr>
      <w:r>
        <w:t>Risk acceptance must be documented and revalidated each quarter.</w:t>
      </w:r>
    </w:p>
    <w:p>
      <w:pPr>
        <w:pStyle w:val="ListBullet"/>
      </w:pPr>
      <w:r>
        <w:t>Teams must log requests in Workday and track outcomes in Endpoint Management for audit readiness.</w:t>
      </w:r>
    </w:p>
    <w:p>
      <w:pPr>
        <w:pStyle w:val="Heading1"/>
      </w:pPr>
      <w:r>
        <w:t>Day One</w:t>
      </w:r>
    </w:p>
    <w:p>
      <w:r>
        <w:t>We prioritize customer impact, data integrity, and regulatory alignment. The process integrates with Endpoint Management and depends on ServiceNow for telemetry signals. Teams must log requests in Workday and track outcomes in Endpoint Management for audit readiness. All incidents are tagged with severity and mapped to service tiers.</w:t>
      </w:r>
    </w:p>
    <w:p>
      <w:r>
        <w:t>The Procurement team coordinates with HR Business Partner to maintain operational readiness. Stakeholders include the HR Business Partner, service owner, and compliance lead for approvals. Stakeholders include the HR Business Partner, service owner, and compliance lead for approvals.</w:t>
      </w:r>
    </w:p>
    <w:p>
      <w:pPr>
        <w:pStyle w:val="ListBullet"/>
      </w:pPr>
      <w:r>
        <w:t>Systems are monitored via ServiceNow and alert routing in Workday.</w:t>
      </w:r>
    </w:p>
    <w:p>
      <w:pPr>
        <w:pStyle w:val="ListBullet"/>
      </w:pPr>
      <w:r>
        <w:t>Audit sampling occurs monthly and is summarized in leadership dashboards.</w:t>
      </w:r>
    </w:p>
    <w:p>
      <w:pPr>
        <w:pStyle w:val="ListBullet"/>
      </w:pPr>
      <w:r>
        <w:t>Teams must log requests in Workday and track outcomes in Endpoint Management for audit readiness.</w:t>
      </w:r>
    </w:p>
    <w:p>
      <w:pPr>
        <w:pStyle w:val="ListBullet"/>
      </w:pPr>
      <w:r>
        <w:t>Systems are monitored via ServiceNow and alert routing in Workday.</w:t>
      </w:r>
    </w:p>
    <w:p>
      <w:pPr>
        <w:pStyle w:val="ListBullet"/>
      </w:pPr>
      <w:r>
        <w:t>Escalations should follow the on-call rotation with a response target of 45 minutes.</w:t>
      </w:r>
    </w:p>
    <w:p>
      <w:pPr>
        <w:pStyle w:val="ListBullet"/>
      </w:pPr>
      <w:r>
        <w:t>The Procurement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Backup validation</w:t>
            </w:r>
          </w:p>
        </w:tc>
        <w:tc>
          <w:tcPr>
            <w:tcW w:type="dxa" w:w="2880"/>
          </w:tcPr>
          <w:p>
            <w:r>
              <w:t>HR Business Partner</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Planned</w:t>
            </w:r>
          </w:p>
        </w:tc>
      </w:tr>
    </w:tbl>
    <w:p>
      <w:pPr>
        <w:pStyle w:val="Heading1"/>
      </w:pPr>
      <w:r>
        <w:t>Access Provisioning</w:t>
      </w:r>
    </w:p>
    <w:p>
      <w:r>
        <w:t>Escalations should follow the on-call rotation with a response target of 45 minutes. This document aligns with SOC 2 requirements and supports US data residency expectations. Escalations should follow the on-call rotation with a response target of 45 minutes.</w:t>
      </w:r>
    </w:p>
    <w:p>
      <w:pPr>
        <w:pStyle w:val="ListBullet"/>
      </w:pPr>
      <w:r>
        <w:t>Teams must log requests in Workday and track outcomes in Endpoint Management for audit readiness.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The Procurement team coordinates with HR Business Partner to maintain operational readiness.</w:t>
      </w:r>
    </w:p>
    <w:p>
      <w:pPr>
        <w:pStyle w:val="ListBullet"/>
      </w:pPr>
      <w:r>
        <w:t>The Procurement organization uses ServiceNow to enforce consistent service baselines.</w:t>
      </w:r>
    </w:p>
    <w:p>
      <w:pPr>
        <w:pStyle w:val="ListBullet"/>
      </w:pPr>
      <w:r>
        <w:t>Regional teams in US follow the same policy with localized legal review.</w:t>
      </w:r>
    </w:p>
    <w:p>
      <w:pPr>
        <w:pStyle w:val="Heading1"/>
      </w:pPr>
      <w:r>
        <w:t>Training</w:t>
      </w:r>
    </w:p>
    <w:p>
      <w:r>
        <w:t>The process integrates with Endpoint Management and depends on ServiceNow for telemetry signals. The Procurement team coordinates with HR Business Partner to maintain operational readiness. Teams must log requests in Workday and track outcomes in Endpoint Management for audit readiness.</w:t>
      </w:r>
    </w:p>
    <w:p>
      <w:pPr>
        <w:pStyle w:val="ListBullet"/>
      </w:pPr>
      <w:r>
        <w:t>Evidence artifacts are retained in Workday for at least 12 months.</w:t>
      </w:r>
    </w:p>
    <w:p>
      <w:pPr>
        <w:pStyle w:val="ListBullet"/>
      </w:pPr>
      <w:r>
        <w:t>Teams must log requests in Workday and track outcomes in Endpoint Management for audit readiness.</w:t>
      </w:r>
    </w:p>
    <w:p>
      <w:pPr>
        <w:pStyle w:val="ListBullet"/>
      </w:pPr>
      <w:r>
        <w:t>Systems are monitored via ServiceNow and alert routing in Workday.</w:t>
      </w:r>
    </w:p>
    <w:p>
      <w:pPr>
        <w:pStyle w:val="ListBullet"/>
      </w:pPr>
      <w:r>
        <w:t>All changes require peer review and validation in the Endpoint Management before production promotion.</w:t>
      </w:r>
    </w:p>
    <w:p>
      <w:pPr>
        <w:pStyle w:val="ListBullet"/>
      </w:pPr>
      <w:r>
        <w:t>Risk acceptance must be documented and revalidated each quarter.</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HR Business Partner</w:t>
            </w:r>
          </w:p>
        </w:tc>
        <w:tc>
          <w:tcPr>
            <w:tcW w:type="dxa" w:w="2880"/>
          </w:tcPr>
          <w:p>
            <w:r>
              <w:t>Blocked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Backup validation</w:t>
            </w:r>
          </w:p>
        </w:tc>
        <w:tc>
          <w:tcPr>
            <w:tcW w:type="dxa" w:w="2880"/>
          </w:tcPr>
          <w:p>
            <w:r>
              <w:t>HR Business Partner</w:t>
            </w:r>
          </w:p>
        </w:tc>
        <w:tc>
          <w:tcPr>
            <w:tcW w:type="dxa" w:w="2880"/>
          </w:tcPr>
          <w:p>
            <w:r>
              <w:t>Blocked</w:t>
            </w:r>
          </w:p>
        </w:tc>
      </w:tr>
    </w:tbl>
    <w:p>
      <w:pPr>
        <w:pStyle w:val="Heading1"/>
      </w:pPr>
      <w:r>
        <w:t>Success Metrics</w:t>
      </w:r>
    </w:p>
    <w:p>
      <w:r>
        <w:t>Audit sampling occurs monthly and is summarized in leadership dashboards. Audit sampling occurs monthly and is summarized in leadership dashboards. Teams must log requests in Workday and track outcomes in Endpoint Management for audit readiness.</w:t>
      </w:r>
    </w:p>
    <w:p>
      <w:r>
        <w:t>Evidence artifacts are retained in Workday for at least 12 months. Risk acceptance must be documented and revalidated each quarter.</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This document aligns with SOC 2 requirements and supports US data residency expectations.</w:t>
      </w:r>
    </w:p>
    <w:p>
      <w:pPr>
        <w:pStyle w:val="ListBullet"/>
      </w:pPr>
      <w:r>
        <w:t>Systems are monitored via ServiceNow and alert routing in Workday.</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