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Product APAC v2.0</w:t>
      </w:r>
    </w:p>
    <w:p>
      <w:r>
        <w:t>Department: Product</w:t>
      </w:r>
    </w:p>
    <w:p>
      <w:r>
        <w:t>Author: Avery Patel</w:t>
      </w:r>
    </w:p>
    <w:p>
      <w:r>
        <w:t>Created date: 2025-03-14</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The Product team coordinates with Security Analyst to maintain operational readiness. Evidence artifacts are retained in Workday for at least 18 months.</w:t>
      </w:r>
    </w:p>
    <w:p>
      <w:r>
        <w:t>Audit sampling occurs monthly and is summarized in leadership dashboards. Regional teams in APAC follow the same policy with localized legal review. The Product team coordinates with Security Analyst to maintain operational readiness. Stakeholders include the Security Analyst, service owner, and compliance lead for approvals.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The Product organization uses Azure to enforce consistent service baselines.</w:t>
      </w:r>
    </w:p>
    <w:p>
      <w:pPr>
        <w:pStyle w:val="ListBullet"/>
      </w:pPr>
      <w:r>
        <w:t>Audit sampling occurs monthly and is summarized in leadership dashboards.</w:t>
      </w:r>
    </w:p>
    <w:p>
      <w:pPr>
        <w:pStyle w:val="ListBullet"/>
      </w:pPr>
      <w:r>
        <w:t>Systems are monitored via Azure and alert routing in Workday.</w:t>
      </w:r>
    </w:p>
    <w:p>
      <w:pPr>
        <w:pStyle w:val="Heading1"/>
      </w:pPr>
      <w:r>
        <w:t>Day One</w:t>
      </w:r>
    </w:p>
    <w:p>
      <w:r>
        <w:t>Systems are monitored via Azure and alert routing in Workday. Stakeholders include the Security Analyst, service owner, and compliance lead for approvals.</w:t>
      </w:r>
    </w:p>
    <w:p>
      <w:pPr>
        <w:pStyle w:val="ListBullet"/>
      </w:pPr>
      <w:r>
        <w:t>Escalations should follow the on-call rotation with a response target of 45 minutes.</w:t>
      </w:r>
    </w:p>
    <w:p>
      <w:pPr>
        <w:pStyle w:val="ListBullet"/>
      </w:pPr>
      <w:r>
        <w:t>Risk acceptance must be documented and revalidated each quarter.</w:t>
      </w:r>
    </w:p>
    <w:p>
      <w:pPr>
        <w:pStyle w:val="ListBullet"/>
      </w:pPr>
      <w:r>
        <w:t>Systems are monitored via Azure and alert routing in Workday.</w:t>
      </w:r>
    </w:p>
    <w:p>
      <w:pPr>
        <w:pStyle w:val="ListBullet"/>
      </w:pPr>
      <w:r>
        <w:t>This document aligns with SOC 2 requirements and supports APAC data residency expectations.</w:t>
      </w:r>
    </w:p>
    <w:p>
      <w:pPr>
        <w:pStyle w:val="ListBullet"/>
      </w:pPr>
      <w:r>
        <w:t>The Product team coordinates with Security Analyst to maintain operational readiness.</w:t>
      </w:r>
    </w:p>
    <w:p>
      <w:pPr>
        <w:pStyle w:val="Heading1"/>
      </w:pPr>
      <w:r>
        <w:t>Access Provisioning</w:t>
      </w:r>
    </w:p>
    <w:p>
      <w:r>
        <w:t>Evidence artifacts are retained in Workday for at least 18 months. We prioritize customer impact, data integrity, and regulatory alignment.</w:t>
      </w:r>
    </w:p>
    <w:p>
      <w:pPr>
        <w:pStyle w:val="ListBullet"/>
      </w:pPr>
      <w:r>
        <w:t>We prioritize customer impact, data integrity, and regulatory alignment.</w:t>
      </w:r>
    </w:p>
    <w:p>
      <w:pPr>
        <w:pStyle w:val="ListBullet"/>
      </w:pPr>
      <w:r>
        <w:t>Evidence artifacts are retained in Workday for at least 18 months.</w:t>
      </w:r>
    </w:p>
    <w:p>
      <w:pPr>
        <w:pStyle w:val="ListBullet"/>
      </w:pPr>
      <w:r>
        <w:t>Evidence artifacts are retained in Workday for at least 18 months.</w:t>
      </w:r>
    </w:p>
    <w:p>
      <w:pPr>
        <w:pStyle w:val="Heading1"/>
      </w:pPr>
      <w:r>
        <w:t>Training</w:t>
      </w:r>
    </w:p>
    <w:p>
      <w:r>
        <w:t>Teams must log requests in Workday and track outcomes in Customer Data Lake for audit readiness. The Product organization uses Azure to enforce consistent service baselines. Audit sampling occurs monthly and is summarized in leadership dashboards. Regional teams in APAC follow the same policy with localized legal review.</w:t>
      </w:r>
    </w:p>
    <w:p>
      <w:r>
        <w:t>This document aligns with SOC 2 requirements and supports APAC data residency expectations. All changes require peer review and validation in the Customer Data Lake before production promotion. The Product team coordinates with Security Analyst to maintain operational readiness. Escalations should follow the on-call rotation with a response target of 45 minutes.</w:t>
      </w:r>
    </w:p>
    <w:p>
      <w:pPr>
        <w:pStyle w:val="ListBullet"/>
      </w:pPr>
      <w:r>
        <w:t>The Product organization uses Azure to enforce consistent service baselines.</w:t>
      </w:r>
    </w:p>
    <w:p>
      <w:pPr>
        <w:pStyle w:val="ListBullet"/>
      </w:pPr>
      <w:r>
        <w:t>Audit sampling occurs monthly and is summarized in leadership dashboards.</w:t>
      </w:r>
    </w:p>
    <w:p>
      <w:pPr>
        <w:pStyle w:val="ListBullet"/>
      </w:pPr>
      <w:r>
        <w:t>Escalations should follow the on-call rotation with a response target of 45 minutes.</w:t>
      </w:r>
    </w:p>
    <w:p>
      <w:pPr>
        <w:pStyle w:val="ListBullet"/>
      </w:pPr>
      <w:r>
        <w:t>This document aligns with SOC 2 requirements and supports APAC data residency expectations.</w:t>
      </w:r>
    </w:p>
    <w:p>
      <w:pPr>
        <w:pStyle w:val="ListBullet"/>
      </w:pPr>
      <w:r>
        <w:t>The Product organization uses Azure to enforce consistent service baselines.</w:t>
      </w:r>
    </w:p>
    <w:p>
      <w:pPr>
        <w:pStyle w:val="Heading1"/>
      </w:pPr>
      <w:r>
        <w:t>Success Metrics</w:t>
      </w:r>
    </w:p>
    <w:p>
      <w:r>
        <w:t>Audit sampling occurs monthly and is summarized in leadership dashboards. Escalations should follow the on-call rotation with a response target of 45 minutes. The Product team coordinates with Security Analyst to maintain operational readiness.</w:t>
      </w:r>
    </w:p>
    <w:p>
      <w:pPr>
        <w:pStyle w:val="ListBullet"/>
      </w:pPr>
      <w:r>
        <w:t>Teams must log requests in Workday and track outcomes in Customer Data Lake for audit readiness.</w:t>
      </w:r>
    </w:p>
    <w:p>
      <w:pPr>
        <w:pStyle w:val="ListBullet"/>
      </w:pPr>
      <w:r>
        <w:t>The Product team coordinates with Security Analyst to maintain operational readiness.</w:t>
      </w:r>
    </w:p>
    <w:p>
      <w:pPr>
        <w:pStyle w:val="ListBullet"/>
      </w:pPr>
      <w:r>
        <w:t>Escalations should follow the on-call rotation with a response target of 45 minutes.</w:t>
      </w:r>
    </w:p>
    <w:p>
      <w:pPr>
        <w:pStyle w:val="ListBullet"/>
      </w:pPr>
      <w:r>
        <w:t>Teams must log requests in Workday and track outcomes in Customer Data Lake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