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Product US v1.2</w:t>
      </w:r>
    </w:p>
    <w:p>
      <w:r>
        <w:t>Department: Product</w:t>
      </w:r>
    </w:p>
    <w:p>
      <w:r>
        <w:t>Author: Jordan Lee</w:t>
      </w:r>
    </w:p>
    <w:p>
      <w:r>
        <w:t>Created date: 2024-01-14</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Product organization uses Terraform to enforce consistent service baselines. The Product organization uses Terraform to enforce consistent service baselines.</w:t>
      </w:r>
    </w:p>
    <w:p>
      <w:r>
        <w:t>The process integrates with Customer Data Lake and depends on Terraform for telemetry signals. The process integrates with Customer Data Lake and depends on Terraform for telemetry signals. All changes require peer review and validation in the Customer Data Lake before production promotion.</w:t>
      </w:r>
    </w:p>
    <w:p>
      <w:pPr>
        <w:pStyle w:val="ListBullet"/>
      </w:pPr>
      <w:r>
        <w:t>Regional teams in US follow the same policy with localized legal review.</w:t>
      </w:r>
    </w:p>
    <w:p>
      <w:pPr>
        <w:pStyle w:val="ListBullet"/>
      </w:pPr>
      <w:r>
        <w:t>Regional teams in US follow the same policy with localized legal review.</w:t>
      </w:r>
    </w:p>
    <w:p>
      <w:pPr>
        <w:pStyle w:val="ListBullet"/>
      </w:pPr>
      <w:r>
        <w:t>All changes require peer review and validation in the Customer Data Lake before production promotion.</w:t>
      </w:r>
    </w:p>
    <w:p>
      <w:pPr>
        <w:pStyle w:val="Heading1"/>
      </w:pPr>
      <w:r>
        <w:t>Day One</w:t>
      </w:r>
    </w:p>
    <w:p>
      <w:r>
        <w:t>Audit sampling occurs monthly and is summarized in leadership dashboards. Evidence artifacts are retained in Workday for at least 24 months. We prioritize customer impact, data integrity, and regulatory alignment.</w:t>
      </w:r>
    </w:p>
    <w:p>
      <w:pPr>
        <w:pStyle w:val="ListBullet"/>
      </w:pPr>
      <w:r>
        <w:t>The process integrates with Customer Data Lake and depends on Terraform for telemetry signals.</w:t>
      </w:r>
    </w:p>
    <w:p>
      <w:pPr>
        <w:pStyle w:val="ListBullet"/>
      </w:pPr>
      <w:r>
        <w:t>The process integrates with Customer Data Lake and depends on Terraform for telemetry signals.</w:t>
      </w:r>
    </w:p>
    <w:p>
      <w:pPr>
        <w:pStyle w:val="ListBullet"/>
      </w:pPr>
      <w:r>
        <w:t>Teams must log requests in Workday and track outcomes in Customer Data Lake for audit readiness.</w:t>
      </w:r>
    </w:p>
    <w:p>
      <w:pPr>
        <w:pStyle w:val="ListBullet"/>
      </w:pPr>
      <w:r>
        <w:t>All incidents are tagged with severity and mapped to service tiers.</w:t>
      </w:r>
    </w:p>
    <w:p>
      <w:pPr>
        <w:pStyle w:val="Heading1"/>
      </w:pPr>
      <w:r>
        <w:t>Access Provisioning</w:t>
      </w:r>
    </w:p>
    <w:p>
      <w:r>
        <w:t>All incidents are tagged with severity and mapped to service tiers. Stakeholders include the Support Specialist, service owner, and compliance lead for approvals. Evidence artifacts are retained in Workday for at least 24 months. Risk acceptance must be documented and revalidated each quarter.</w:t>
      </w:r>
    </w:p>
    <w:p>
      <w:r>
        <w:t>Risk acceptance must be documented and revalidated each quarter. Escalations should follow the on-call rotation with a response target of 15 minutes.</w:t>
      </w:r>
    </w:p>
    <w:p>
      <w:pPr>
        <w:pStyle w:val="ListBullet"/>
      </w:pPr>
      <w:r>
        <w:t>Regional teams in US follow the same policy with localized legal review.</w:t>
      </w:r>
    </w:p>
    <w:p>
      <w:pPr>
        <w:pStyle w:val="ListBullet"/>
      </w:pPr>
      <w:r>
        <w:t>The process integrates with Customer Data Lake and depends on Terraform for telemetry signals.</w:t>
      </w:r>
    </w:p>
    <w:p>
      <w:pPr>
        <w:pStyle w:val="ListBullet"/>
      </w:pPr>
      <w:r>
        <w:t>Regional teams in US follow the same policy with localized legal review.</w:t>
      </w:r>
    </w:p>
    <w:p>
      <w:pPr>
        <w:pStyle w:val="Heading1"/>
      </w:pPr>
      <w:r>
        <w:t>Training</w:t>
      </w:r>
    </w:p>
    <w:p>
      <w:r>
        <w:t>The Product organization uses Terraform to enforce consistent service baselines. We prioritize customer impact, data integrity, and regulatory alignment. The Product team coordinates with Support Specialist to maintain operational readiness. The process integrates with Customer Data Lake and depends on Terraform for telemetry signals.</w:t>
      </w:r>
    </w:p>
    <w:p>
      <w:pPr>
        <w:pStyle w:val="ListBullet"/>
      </w:pPr>
      <w:r>
        <w:t>Regional teams in US follow the same policy with localized legal review.</w:t>
      </w:r>
    </w:p>
    <w:p>
      <w:pPr>
        <w:pStyle w:val="ListBullet"/>
      </w:pPr>
      <w:r>
        <w:t>Stakeholders include the Support Specialist, service owner, and compliance lead for approvals.</w:t>
      </w:r>
    </w:p>
    <w:p>
      <w:pPr>
        <w:pStyle w:val="ListBullet"/>
      </w:pPr>
      <w:r>
        <w:t>The Product team coordinates with Support Specialist to maintain operational readiness.</w:t>
      </w:r>
    </w:p>
    <w:p>
      <w:pPr>
        <w:pStyle w:val="ListBullet"/>
      </w:pPr>
      <w:r>
        <w:t>Evidence artifacts are retained in Workday for at least 24 months.</w:t>
      </w:r>
    </w:p>
    <w:p>
      <w:pPr>
        <w:pStyle w:val="ListBullet"/>
      </w:pPr>
      <w:r>
        <w:t>We prioritize customer impact, data integrity, and regulatory alignment.</w:t>
      </w:r>
    </w:p>
    <w:p>
      <w:pPr>
        <w:pStyle w:val="ListBullet"/>
      </w:pPr>
      <w:r>
        <w:t>Teams must log requests in Workday and track outcomes in Customer Data Lake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Support Specialist</w:t>
            </w:r>
          </w:p>
        </w:tc>
        <w:tc>
          <w:tcPr>
            <w:tcW w:type="dxa" w:w="2880"/>
          </w:tcPr>
          <w:p>
            <w:r>
              <w:t>Blocked</w:t>
            </w:r>
          </w:p>
        </w:tc>
      </w:tr>
      <w:tr>
        <w:tc>
          <w:tcPr>
            <w:tcW w:type="dxa" w:w="2880"/>
          </w:tcPr>
          <w:p>
            <w:r>
              <w:t>Vendor check</w:t>
            </w:r>
          </w:p>
        </w:tc>
        <w:tc>
          <w:tcPr>
            <w:tcW w:type="dxa" w:w="2880"/>
          </w:tcPr>
          <w:p>
            <w:r>
              <w:t>Operations</w:t>
            </w:r>
          </w:p>
        </w:tc>
        <w:tc>
          <w:tcPr>
            <w:tcW w:type="dxa" w:w="2880"/>
          </w:tcPr>
          <w:p>
            <w:r>
              <w:t>Complete</w:t>
            </w:r>
          </w:p>
        </w:tc>
      </w:tr>
      <w:tr>
        <w:tc>
          <w:tcPr>
            <w:tcW w:type="dxa" w:w="2880"/>
          </w:tcPr>
          <w:p>
            <w:r>
              <w:t>Vendor check</w:t>
            </w:r>
          </w:p>
        </w:tc>
        <w:tc>
          <w:tcPr>
            <w:tcW w:type="dxa" w:w="2880"/>
          </w:tcPr>
          <w:p>
            <w:r>
              <w:t>Operations</w:t>
            </w:r>
          </w:p>
        </w:tc>
        <w:tc>
          <w:tcPr>
            <w:tcW w:type="dxa" w:w="2880"/>
          </w:tcPr>
          <w:p>
            <w:r>
              <w:t>Planned</w:t>
            </w:r>
          </w:p>
        </w:tc>
      </w:tr>
    </w:tbl>
    <w:p>
      <w:pPr>
        <w:pStyle w:val="Heading1"/>
      </w:pPr>
      <w:r>
        <w:t>Success Metrics</w:t>
      </w:r>
    </w:p>
    <w:p>
      <w:r>
        <w:t>Teams must log requests in Workday and track outcomes in Customer Data Lake for audit readiness. Audit sampling occurs monthly and is summarized in leadership dashboards. Systems are monitored via Terraform and alert routing in Workday. Stakeholders include the Support Specialist, service owner, and compliance lead for approvals.</w:t>
      </w:r>
    </w:p>
    <w:p>
      <w:pPr>
        <w:pStyle w:val="ListBullet"/>
      </w:pPr>
      <w:r>
        <w:t>The process integrates with Customer Data Lake and depends on Terraform for telemetry signals.</w:t>
      </w:r>
    </w:p>
    <w:p>
      <w:pPr>
        <w:pStyle w:val="ListBullet"/>
      </w:pPr>
      <w:r>
        <w:t>Systems are monitored via Terraform and alert routing in Workday.</w:t>
      </w:r>
    </w:p>
    <w:p>
      <w:pPr>
        <w:pStyle w:val="ListBullet"/>
      </w:pPr>
      <w:r>
        <w:t>All changes require peer review and validation in the Customer Data Lake before production promotion.</w:t>
      </w:r>
    </w:p>
    <w:p>
      <w:pPr>
        <w:pStyle w:val="ListBullet"/>
      </w:pPr>
      <w:r>
        <w:t>This document aligns with SOX requirements and supports US data residency expectations.</w:t>
      </w:r>
    </w:p>
    <w:p>
      <w:pPr>
        <w:pStyle w:val="ListBullet"/>
      </w:pPr>
      <w:r>
        <w:t>Stakeholders include the Support Specialist,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Blocked</w:t>
            </w:r>
          </w:p>
        </w:tc>
      </w:tr>
      <w:tr>
        <w:tc>
          <w:tcPr>
            <w:tcW w:type="dxa" w:w="2880"/>
          </w:tcPr>
          <w:p>
            <w:r>
              <w:t>Patch window</w:t>
            </w:r>
          </w:p>
        </w:tc>
        <w:tc>
          <w:tcPr>
            <w:tcW w:type="dxa" w:w="2880"/>
          </w:tcPr>
          <w:p>
            <w:r>
              <w:t>Support Specialist</w:t>
            </w:r>
          </w:p>
        </w:tc>
        <w:tc>
          <w:tcPr>
            <w:tcW w:type="dxa" w:w="2880"/>
          </w:tcPr>
          <w:p>
            <w:r>
              <w:t>Complete</w:t>
            </w:r>
          </w:p>
        </w:tc>
      </w:tr>
      <w:tr>
        <w:tc>
          <w:tcPr>
            <w:tcW w:type="dxa" w:w="2880"/>
          </w:tcPr>
          <w:p>
            <w:r>
              <w:t>Vendor check</w:t>
            </w:r>
          </w:p>
        </w:tc>
        <w:tc>
          <w:tcPr>
            <w:tcW w:type="dxa" w:w="2880"/>
          </w:tcPr>
          <w:p>
            <w:r>
              <w:t>Support Specialist</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