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Compliance APAC v1.0</w:t>
      </w:r>
    </w:p>
    <w:p>
      <w:r>
        <w:t>Department: Compliance</w:t>
      </w:r>
    </w:p>
    <w:p>
      <w:r>
        <w:t>Author: Morgan Garcia</w:t>
      </w:r>
    </w:p>
    <w:p>
      <w:r>
        <w:t>Created date: 2025-02-19</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All changes require peer review and validation in the Ticketing Platform before production promotion. The Compliance organization uses Okta to enforce consistent service baselines.</w:t>
      </w:r>
    </w:p>
    <w:p>
      <w:r>
        <w:t>This document aligns with SOX requirements and supports APAC data residency expectations. Teams must log requests in Salesforce and track outcomes in Ticketing Platform for audit readiness. All incidents are tagged with severity and mapped to service tiers. The Compliance team coordinates with Finance Analyst to maintain operational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All changes require peer review and validation in the Ticketing Platform before production promotion.</w:t>
      </w:r>
    </w:p>
    <w:p>
      <w:pPr>
        <w:pStyle w:val="Heading1"/>
      </w:pPr>
      <w:r>
        <w:t>Dependencies</w:t>
      </w:r>
    </w:p>
    <w:p>
      <w:r>
        <w:t>Escalations should follow the on-call rotation with a response target of 15 minutes. Systems are monitored via Okta and alert routing in Salesforce.</w:t>
      </w:r>
    </w:p>
    <w:p>
      <w:pPr>
        <w:pStyle w:val="ListBullet"/>
      </w:pPr>
      <w:r>
        <w:t>The Compliance organization uses Okta to enforce consistent service baselines.</w:t>
      </w:r>
    </w:p>
    <w:p>
      <w:pPr>
        <w:pStyle w:val="ListBullet"/>
      </w:pPr>
      <w:r>
        <w:t>The process integrates with Ticketing Platform and depends on Okta for telemetry signals.</w:t>
      </w:r>
    </w:p>
    <w:p>
      <w:pPr>
        <w:pStyle w:val="ListBullet"/>
      </w:pPr>
      <w:r>
        <w:t>Escalations should follow the on-call rotation with a response target of 15 minutes.</w:t>
      </w:r>
    </w:p>
    <w:p>
      <w:pPr>
        <w:pStyle w:val="ListBullet"/>
      </w:pPr>
      <w:r>
        <w:t>This document aligns with SOX requirements and supports APAC data residency expectations.</w:t>
      </w:r>
    </w:p>
    <w:p>
      <w:pPr>
        <w:pStyle w:val="ListBullet"/>
      </w:pPr>
      <w:r>
        <w:t>Evidence artifacts are retained in Salesforce for at least 24 months.</w:t>
      </w:r>
    </w:p>
    <w:p>
      <w:pPr>
        <w:pStyle w:val="Heading1"/>
      </w:pPr>
      <w:r>
        <w:t>Operational Procedures</w:t>
      </w:r>
    </w:p>
    <w:p>
      <w:r>
        <w:t>Regional teams in APAC follow the same policy with localized legal review. Escalations should follow the on-call rotation with a response target of 15 minutes.</w:t>
      </w:r>
    </w:p>
    <w:p>
      <w:r>
        <w:t>Evidence artifacts are retained in Salesforce for at least 24 months. The Compliance organization uses Okta to enforce consistent service baselines. Stakeholders include the Finance Analyst, service owner, and compliance lead for approvals.</w:t>
      </w:r>
    </w:p>
    <w:p>
      <w:pPr>
        <w:pStyle w:val="ListBullet"/>
      </w:pPr>
      <w:r>
        <w:t>Teams must log requests in Salesforce and track outcomes in Ticketing Platform for audit readiness.</w:t>
      </w:r>
    </w:p>
    <w:p>
      <w:pPr>
        <w:pStyle w:val="ListBullet"/>
      </w:pPr>
      <w:r>
        <w:t>Escalations should follow the on-call rotation with a response target of 15 minutes.</w:t>
      </w:r>
    </w:p>
    <w:p>
      <w:pPr>
        <w:pStyle w:val="ListBullet"/>
      </w:pPr>
      <w:r>
        <w:t>The Compliance organization uses Okta to enforce consistent service baselines.</w:t>
      </w:r>
    </w:p>
    <w:p>
      <w:pPr>
        <w:pStyle w:val="Heading1"/>
      </w:pPr>
      <w:r>
        <w:t>Rollback Strategy</w:t>
      </w:r>
    </w:p>
    <w:p>
      <w:r>
        <w:t>Stakeholders include the Finance Analyst, service owner, and compliance lead for approvals. Risk acceptance must be documented and revalidated each quarter.</w:t>
      </w:r>
    </w:p>
    <w:p>
      <w:pPr>
        <w:pStyle w:val="ListBullet"/>
      </w:pPr>
      <w:r>
        <w:t>The process integrates with Ticketing Platform and depends on Okta for telemetry signals.</w:t>
      </w:r>
    </w:p>
    <w:p>
      <w:pPr>
        <w:pStyle w:val="ListBullet"/>
      </w:pPr>
      <w:r>
        <w:t>Audit sampling occurs monthly and is summarized in leadership dashboards.</w:t>
      </w:r>
    </w:p>
    <w:p>
      <w:pPr>
        <w:pStyle w:val="ListBullet"/>
      </w:pPr>
      <w:r>
        <w:t>All changes require peer review and validation in the Ticketing Platform before production promotion.</w:t>
      </w:r>
    </w:p>
    <w:p>
      <w:pPr>
        <w:pStyle w:val="ListBullet"/>
      </w:pPr>
      <w:r>
        <w:t>The Compliance team coordinates with Finance Analyst to maintain operational readiness.</w:t>
      </w:r>
    </w:p>
    <w:p>
      <w:pPr>
        <w:pStyle w:val="ListBullet"/>
      </w:pPr>
      <w:r>
        <w:t>The process integrates with Ticketing Platform and depends on Okta for telemetry signals.</w:t>
      </w:r>
    </w:p>
    <w:p>
      <w:pPr>
        <w:pStyle w:val="Heading1"/>
      </w:pPr>
      <w:r>
        <w:t>Escalation</w:t>
      </w:r>
    </w:p>
    <w:p>
      <w:r>
        <w:t>This document aligns with SOX requirements and supports APAC data residency expectations. All changes require peer review and validation in the Ticketing Platform before production promotion.</w:t>
      </w:r>
    </w:p>
    <w:p>
      <w:pPr>
        <w:pStyle w:val="ListBullet"/>
      </w:pPr>
      <w:r>
        <w:t>Regional teams in APAC follow the same policy with localized legal review.</w:t>
      </w:r>
    </w:p>
    <w:p>
      <w:pPr>
        <w:pStyle w:val="ListBullet"/>
      </w:pPr>
      <w:r>
        <w:t>Audit sampling occurs monthly and is summarized in leadership dashboards.</w:t>
      </w:r>
    </w:p>
    <w:p>
      <w:pPr>
        <w:pStyle w:val="ListBullet"/>
      </w:pPr>
      <w:r>
        <w:t>Stakeholders include the Finance Analyst, service owner, and compliance lead for approvals.</w:t>
      </w:r>
    </w:p>
    <w:p>
      <w:pPr>
        <w:pStyle w:val="Heading1"/>
      </w:pPr>
      <w:r>
        <w:t>Additional Notes</w:t>
      </w:r>
    </w:p>
    <w:p>
      <w:r>
        <w:t>The process integrates with Ticketing Platform and depends on Okta for telemetry signals. Escalations should follow the on-call rotation with a response target of 15 minutes. Escalations should follow the on-call rotation with a response target of 15 minutes.</w:t>
      </w:r>
    </w:p>
    <w:p>
      <w:pPr>
        <w:pStyle w:val="ListBullet"/>
      </w:pPr>
      <w:r>
        <w:t>Audit sampling occurs monthly and is summarized in leadership dashboards.</w:t>
      </w:r>
    </w:p>
    <w:p>
      <w:pPr>
        <w:pStyle w:val="ListBullet"/>
      </w:pPr>
      <w:r>
        <w:t>Evidence artifacts are retained in Salesforce for at least 24 months.</w:t>
      </w:r>
    </w:p>
    <w:p>
      <w:pPr>
        <w:pStyle w:val="ListBullet"/>
      </w:pPr>
      <w:r>
        <w:t>The process integrates with Ticketing Platform and depends on Okta for telemetry signals.</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