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Customer Support APAC v2.1</w:t>
      </w:r>
    </w:p>
    <w:p>
      <w:r>
        <w:t>Department: Customer Support</w:t>
      </w:r>
    </w:p>
    <w:p>
      <w:r>
        <w:t>Author: Taylor Kim</w:t>
      </w:r>
    </w:p>
    <w:p>
      <w:r>
        <w:t>Created date: 2024-08-14</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Escalations should follow the on-call rotation with a response target of 15 minutes. We prioritize customer impact, data integrity, and regulatory alignment. Teams must log requests in Salesforce and track outcomes in ERP System for audit readiness.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All changes require peer review and validation in the ERP System before production promotion.</w:t>
      </w:r>
    </w:p>
    <w:p>
      <w:pPr>
        <w:pStyle w:val="Heading1"/>
      </w:pPr>
      <w:r>
        <w:t>Dependencies</w:t>
      </w:r>
    </w:p>
    <w:p>
      <w:r>
        <w:t>All incidents are tagged with severity and mapped to service tiers. Stakeholders include the Security Analyst, service owner, and compliance lead for approvals.</w:t>
      </w:r>
    </w:p>
    <w:p>
      <w:pPr>
        <w:pStyle w:val="ListBullet"/>
      </w:pPr>
      <w:r>
        <w:t>Evidence artifacts are retained in Salesforce for at least 24 months.</w:t>
      </w:r>
    </w:p>
    <w:p>
      <w:pPr>
        <w:pStyle w:val="ListBullet"/>
      </w:pPr>
      <w:r>
        <w:t>Risk acceptance must be documented and revalidated each quarter.</w:t>
      </w:r>
    </w:p>
    <w:p>
      <w:pPr>
        <w:pStyle w:val="ListBullet"/>
      </w:pPr>
      <w:r>
        <w:t>Regional teams in APAC follow the same policy with localized legal review.</w:t>
      </w:r>
    </w:p>
    <w:p>
      <w:pPr>
        <w:pStyle w:val="ListBullet"/>
      </w:pPr>
      <w:r>
        <w:t>Evidence artifacts are retained in Salesforce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 Analyst</w:t>
            </w:r>
          </w:p>
        </w:tc>
        <w:tc>
          <w:tcPr>
            <w:tcW w:type="dxa" w:w="2880"/>
          </w:tcPr>
          <w:p>
            <w:r>
              <w:t>Complete</w:t>
            </w:r>
          </w:p>
        </w:tc>
      </w:tr>
      <w:tr>
        <w:tc>
          <w:tcPr>
            <w:tcW w:type="dxa" w:w="2880"/>
          </w:tcPr>
          <w:p>
            <w:r>
              <w:t>Incident drill</w:t>
            </w:r>
          </w:p>
        </w:tc>
        <w:tc>
          <w:tcPr>
            <w:tcW w:type="dxa" w:w="2880"/>
          </w:tcPr>
          <w:p>
            <w:r>
              <w:t>Security Analyst</w:t>
            </w:r>
          </w:p>
        </w:tc>
        <w:tc>
          <w:tcPr>
            <w:tcW w:type="dxa" w:w="2880"/>
          </w:tcPr>
          <w:p>
            <w:r>
              <w:t>In Progress</w:t>
            </w:r>
          </w:p>
        </w:tc>
      </w:tr>
    </w:tbl>
    <w:p>
      <w:pPr>
        <w:pStyle w:val="Heading1"/>
      </w:pPr>
      <w:r>
        <w:t>Operational Procedures</w:t>
      </w:r>
    </w:p>
    <w:p>
      <w:r>
        <w:t>Escalations should follow the on-call rotation with a response target of 15 minutes. Audit sampling occurs monthly and is summarized in leadership dashboards. The Customer Support organization uses Kafka to enforce consistent service baselines.</w:t>
      </w:r>
    </w:p>
    <w:p>
      <w:r>
        <w:t>This document aligns with PCI DSS requirements and supports APAC data residency expectations. Audit sampling occurs monthly and is summarized in leadership dashboards.</w:t>
      </w:r>
    </w:p>
    <w:p>
      <w:pPr>
        <w:pStyle w:val="ListBullet"/>
      </w:pPr>
      <w:r>
        <w:t>Teams must log requests in Salesforce and track outcomes in ERP System for audit readiness.</w:t>
      </w:r>
    </w:p>
    <w:p>
      <w:pPr>
        <w:pStyle w:val="ListBullet"/>
      </w:pPr>
      <w:r>
        <w:t>The Customer Support team coordinates with Security Analyst to maintain operational readiness.</w:t>
      </w:r>
    </w:p>
    <w:p>
      <w:pPr>
        <w:pStyle w:val="ListBullet"/>
      </w:pPr>
      <w:r>
        <w:t>Risk acceptance must be documented and revalidated each quarter.</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 Analyst</w:t>
            </w:r>
          </w:p>
        </w:tc>
        <w:tc>
          <w:tcPr>
            <w:tcW w:type="dxa" w:w="2880"/>
          </w:tcPr>
          <w:p>
            <w:r>
              <w:t>Planned</w:t>
            </w:r>
          </w:p>
        </w:tc>
      </w:tr>
      <w:tr>
        <w:tc>
          <w:tcPr>
            <w:tcW w:type="dxa" w:w="2880"/>
          </w:tcPr>
          <w:p>
            <w:r>
              <w:t>Backup validation</w:t>
            </w:r>
          </w:p>
        </w:tc>
        <w:tc>
          <w:tcPr>
            <w:tcW w:type="dxa" w:w="2880"/>
          </w:tcPr>
          <w:p>
            <w:r>
              <w:t>Security Analyst</w:t>
            </w:r>
          </w:p>
        </w:tc>
        <w:tc>
          <w:tcPr>
            <w:tcW w:type="dxa" w:w="2880"/>
          </w:tcPr>
          <w:p>
            <w:r>
              <w:t>Blocked</w:t>
            </w:r>
          </w:p>
        </w:tc>
      </w:tr>
    </w:tbl>
    <w:p>
      <w:pPr>
        <w:pStyle w:val="Heading1"/>
      </w:pPr>
      <w:r>
        <w:t>Rollback Strategy</w:t>
      </w:r>
    </w:p>
    <w:p>
      <w:r>
        <w:t>Audit sampling occurs monthly and is summarized in leadership dashboards. Risk acceptance must be documented and revalidated each quarter. Audit sampling occurs monthly and is summarized in leadership dashboards.</w:t>
      </w:r>
    </w:p>
    <w:p>
      <w:r>
        <w:t>All changes require peer review and validation in the ERP System before production promotion. All incidents are tagged with severity and mapped to service tiers. We prioritize customer impact, data integrity, and regulatory alignment. Regional teams in APAC follow the same policy with localized legal review.</w:t>
      </w:r>
    </w:p>
    <w:p>
      <w:pPr>
        <w:pStyle w:val="ListBullet"/>
      </w:pPr>
      <w:r>
        <w:t>Evidence artifacts are retained in Salesforce for at least 24 months.</w:t>
      </w:r>
    </w:p>
    <w:p>
      <w:pPr>
        <w:pStyle w:val="ListBullet"/>
      </w:pPr>
      <w:r>
        <w:t>Evidence artifacts are retained in Salesforce for at least 24 months.</w:t>
      </w:r>
    </w:p>
    <w:p>
      <w:pPr>
        <w:pStyle w:val="ListBullet"/>
      </w:pPr>
      <w:r>
        <w:t>The process integrates with ERP System and depends on Kafka for telemetry signals.</w:t>
      </w:r>
    </w:p>
    <w:p>
      <w:pPr>
        <w:pStyle w:val="Heading1"/>
      </w:pPr>
      <w:r>
        <w:t>Escalation</w:t>
      </w:r>
    </w:p>
    <w:p>
      <w:r>
        <w:t>This document aligns with PCI DSS requirements and supports APAC data residency expectations. Evidence artifacts are retained in Salesforce for at least 24 months. All incidents are tagged with severity and mapped to service tiers.</w:t>
      </w:r>
    </w:p>
    <w:p>
      <w:r>
        <w:t>Evidence artifacts are retained in Salesforce for at least 24 months. The Customer Support team coordinates with Security Analyst to maintain operational readiness. Audit sampling occurs monthly and is summarized in leadership dashboards.</w:t>
      </w:r>
    </w:p>
    <w:p>
      <w:pPr>
        <w:pStyle w:val="ListBullet"/>
      </w:pPr>
      <w:r>
        <w:t>This document aligns with PCI DSS requirements and supports APAC data residency expectations.</w:t>
      </w:r>
    </w:p>
    <w:p>
      <w:pPr>
        <w:pStyle w:val="ListBullet"/>
      </w:pPr>
      <w:r>
        <w:t>The Customer Support organization uses Kafka to enforce consistent service baselines.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