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Runbooks - Customer Support APAC v1.0</w:t>
      </w:r>
    </w:p>
    <w:p>
      <w:r>
        <w:t>Department: Customer Support</w:t>
      </w:r>
    </w:p>
    <w:p>
      <w:r>
        <w:t>Author: Jordan Nguyen</w:t>
      </w:r>
    </w:p>
    <w:p>
      <w:r>
        <w:t>Created date: 2024-12-21</w:t>
      </w:r>
    </w:p>
    <w:p>
      <w:r>
        <w:t>Region: APAC</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Service Summary</w:t>
      </w:r>
    </w:p>
    <w:p>
      <w:r>
        <w:t>Teams must log requests in Workday and track outcomes in Payment Processing Service for audit readiness. The Customer Support organization uses Datadog to enforce consistent service baselines. All incidents are tagged with severity and mapped to service tiers.</w:t>
      </w:r>
    </w:p>
    <w:p>
      <w:r>
        <w:t>Teams must log requests in Workday and track outcomes in Payment Processing Service for audit readiness. Evidence artifacts are retained in Workday for at least 24 months. Risk acceptance must be documented and revalidated each quarter.</w:t>
      </w:r>
    </w:p>
    <w:p>
      <w:pPr>
        <w:pStyle w:val="ListBullet"/>
      </w:pPr>
      <w:r>
        <w:t>Teams must log requests in Workday and track outcomes in Payment Processing Service for audit readiness.</w:t>
      </w:r>
    </w:p>
    <w:p>
      <w:pPr>
        <w:pStyle w:val="ListBullet"/>
      </w:pPr>
      <w:r>
        <w:t>The process integrates with Payment Processing Service and depends on Datadog for telemetry signals.</w:t>
      </w:r>
    </w:p>
    <w:p>
      <w:pPr>
        <w:pStyle w:val="ListBullet"/>
      </w:pPr>
      <w:r>
        <w:t>Audit sampling occurs monthly and is summarized in leadership dashboards.</w:t>
      </w:r>
    </w:p>
    <w:p>
      <w:pPr>
        <w:pStyle w:val="Heading1"/>
      </w:pPr>
      <w:r>
        <w:t>Dependencies</w:t>
      </w:r>
    </w:p>
    <w:p>
      <w:r>
        <w:t>Risk acceptance must be documented and revalidated each quarter. Audit sampling occurs monthly and is summarized in leadership dashboards. Systems are monitored via Datadog and alert routing in Workday.</w:t>
      </w:r>
    </w:p>
    <w:p>
      <w:r>
        <w:t>Regional teams in APAC follow the same policy with localized legal review. Evidence artifacts are retained in Workday for at least 24 months. Escalations should follow the on-call rotation with a response target of 30 minutes. Regional teams in APAC follow the same policy with localized legal review.</w:t>
      </w:r>
    </w:p>
    <w:p>
      <w:pPr>
        <w:pStyle w:val="ListBullet"/>
      </w:pPr>
      <w:r>
        <w:t>The process integrates with Payment Processing Service and depends on Datadog for telemetry signals.</w:t>
      </w:r>
    </w:p>
    <w:p>
      <w:pPr>
        <w:pStyle w:val="ListBullet"/>
      </w:pPr>
      <w:r>
        <w:t>The process integrates with Payment Processing Service and depends on Datadog for telemetry signals.</w:t>
      </w:r>
    </w:p>
    <w:p>
      <w:pPr>
        <w:pStyle w:val="ListBullet"/>
      </w:pPr>
      <w:r>
        <w:t>Risk acceptance must be documented and revalidated each quarter.</w:t>
      </w:r>
    </w:p>
    <w:p>
      <w:pPr>
        <w:pStyle w:val="ListBullet"/>
      </w:pPr>
      <w:r>
        <w:t>Evidence artifacts are retained in Workday for at least 24 months.</w:t>
      </w:r>
    </w:p>
    <w:p>
      <w:pPr>
        <w:pStyle w:val="ListBullet"/>
      </w:pPr>
      <w:r>
        <w:t>Audit sampling occurs monthly and is summarized in leadership dashboards.</w:t>
      </w:r>
    </w:p>
    <w:p>
      <w:pPr>
        <w:pStyle w:val="ListBullet"/>
      </w:pPr>
      <w:r>
        <w:t>The Customer Support team coordinates with Support Specialist to maintain operational readiness.</w:t>
      </w:r>
    </w:p>
    <w:p>
      <w:pPr>
        <w:pStyle w:val="Heading1"/>
      </w:pPr>
      <w:r>
        <w:t>Operational Procedures</w:t>
      </w:r>
    </w:p>
    <w:p>
      <w:r>
        <w:t>All changes require peer review and validation in the Payment Processing Service before production promotion. This document aligns with SOX requirements and supports APAC data residency expectations.</w:t>
      </w:r>
    </w:p>
    <w:p>
      <w:pPr>
        <w:pStyle w:val="ListBullet"/>
      </w:pPr>
      <w:r>
        <w:t>Regional teams in APAC follow the same policy with localized legal review.</w:t>
      </w:r>
    </w:p>
    <w:p>
      <w:pPr>
        <w:pStyle w:val="ListBullet"/>
      </w:pPr>
      <w:r>
        <w:t>We prioritize customer impact, data integrity, and regulatory alignment.</w:t>
      </w:r>
    </w:p>
    <w:p>
      <w:pPr>
        <w:pStyle w:val="ListBullet"/>
      </w:pPr>
      <w:r>
        <w:t>All incidents are tagged with severity and mapped to service tiers.</w:t>
      </w:r>
    </w:p>
    <w:p>
      <w:pPr>
        <w:pStyle w:val="ListBullet"/>
      </w:pPr>
      <w:r>
        <w:t>Audit sampling occurs monthly and is summarized in leadership dashboards.</w:t>
      </w:r>
    </w:p>
    <w:p>
      <w:pPr>
        <w:pStyle w:val="Heading1"/>
      </w:pPr>
      <w:r>
        <w:t>Rollback Strategy</w:t>
      </w:r>
    </w:p>
    <w:p>
      <w:r>
        <w:t>Systems are monitored via Datadog and alert routing in Workday. Regional teams in APAC follow the same policy with localized legal review. Regional teams in APAC follow the same policy with localized legal review.</w:t>
      </w:r>
    </w:p>
    <w:p>
      <w:pPr>
        <w:pStyle w:val="ListBullet"/>
      </w:pPr>
      <w:r>
        <w:t>Risk acceptance must be documented and revalidated each quarter.</w:t>
      </w:r>
    </w:p>
    <w:p>
      <w:pPr>
        <w:pStyle w:val="ListBullet"/>
      </w:pPr>
      <w:r>
        <w:t>Regional teams in APAC follow the same policy with localized legal review.</w:t>
      </w:r>
    </w:p>
    <w:p>
      <w:pPr>
        <w:pStyle w:val="ListBullet"/>
      </w:pPr>
      <w:r>
        <w:t>Systems are monitored via Datadog and alert routing in Workday.</w:t>
      </w:r>
    </w:p>
    <w:p>
      <w:pPr>
        <w:pStyle w:val="ListBullet"/>
      </w:pPr>
      <w:r>
        <w:t>Escalations should follow the on-call rotation with a response target of 30 minutes.</w:t>
      </w:r>
    </w:p>
    <w:p>
      <w:pPr>
        <w:pStyle w:val="ListBullet"/>
      </w:pPr>
      <w:r>
        <w:t>Systems are monitored via Datadog and alert routing in Workday.</w:t>
      </w:r>
    </w:p>
    <w:p>
      <w:pPr>
        <w:pStyle w:val="ListBullet"/>
      </w:pPr>
      <w:r>
        <w:t>The process integrates with Payment Processing Service and depends on Datadog for telemetry signals.</w:t>
      </w:r>
    </w:p>
    <w:p>
      <w:pPr>
        <w:pStyle w:val="Heading1"/>
      </w:pPr>
      <w:r>
        <w:t>Escalation</w:t>
      </w:r>
    </w:p>
    <w:p>
      <w:r>
        <w:t>We prioritize customer impact, data integrity, and regulatory alignment. All incidents are tagged with severity and mapped to service tiers. Escalations should follow the on-call rotation with a response target of 30 minutes. Stakeholders include the Support Specialist, service owner, and compliance lead for approvals.</w:t>
      </w:r>
    </w:p>
    <w:p>
      <w:r>
        <w:t>Stakeholders include the Support Specialist, service owner, and compliance lead for approvals. Escalations should follow the on-call rotation with a response target of 30 minutes.</w:t>
      </w:r>
    </w:p>
    <w:p>
      <w:pPr>
        <w:pStyle w:val="ListBullet"/>
      </w:pPr>
      <w:r>
        <w:t>This document aligns with SOX requirements and supports APAC data residency expectations.</w:t>
      </w:r>
    </w:p>
    <w:p>
      <w:pPr>
        <w:pStyle w:val="ListBullet"/>
      </w:pPr>
      <w:r>
        <w:t>Escalations should follow the on-call rotation with a response target of 30 minutes.</w:t>
      </w:r>
    </w:p>
    <w:p>
      <w:pPr>
        <w:pStyle w:val="ListBullet"/>
      </w:pPr>
      <w:r>
        <w:t>Evidence artifacts are retained in Workday for at least 24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