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Finance APAC v1.0</w:t>
      </w:r>
    </w:p>
    <w:p>
      <w:r>
        <w:t>Department: Finance</w:t>
      </w:r>
    </w:p>
    <w:p>
      <w:r>
        <w:t>Author: Avery Patel</w:t>
      </w:r>
    </w:p>
    <w:p>
      <w:r>
        <w:t>Created date: 2024-08-28</w:t>
      </w:r>
    </w:p>
    <w:p>
      <w:r>
        <w:t>Region: APAC</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Risk acceptance must be documented and revalidated each quarter. Audit sampling occurs monthly and is summarized in leadership dashboards.</w:t>
      </w:r>
    </w:p>
    <w:p>
      <w:pPr>
        <w:pStyle w:val="ListBullet"/>
      </w:pPr>
      <w:r>
        <w:t>Systems are monitored via Azure AD and alert routing in SAP.</w:t>
      </w:r>
    </w:p>
    <w:p>
      <w:pPr>
        <w:pStyle w:val="ListBullet"/>
      </w:pPr>
      <w:r>
        <w:t>Regional teams in APAC follow the same policy with localized legal review.</w:t>
      </w:r>
    </w:p>
    <w:p>
      <w:pPr>
        <w:pStyle w:val="ListBullet"/>
      </w:pPr>
      <w:r>
        <w:t>This document aligns with ISO 27001 requirements and supports APAC data residency expectations.</w:t>
      </w:r>
    </w:p>
    <w:p>
      <w:pPr>
        <w:pStyle w:val="Heading1"/>
      </w:pPr>
      <w:r>
        <w:t>Dependencies</w:t>
      </w:r>
    </w:p>
    <w:p>
      <w:r>
        <w:t>Teams must log requests in SAP and track outcomes in Document Repository for audit readiness. Systems are monitored via Azure AD and alert routing in SAP.</w:t>
      </w:r>
    </w:p>
    <w:p>
      <w:r>
        <w:t>Regional teams in APAC follow the same policy with localized legal review. Systems are monitored via Azure AD and alert routing in SAP.</w:t>
      </w:r>
    </w:p>
    <w:p>
      <w:pPr>
        <w:pStyle w:val="ListBullet"/>
      </w:pPr>
      <w:r>
        <w:t>Systems are monitored via Azure AD and alert routing in SAP.</w:t>
      </w:r>
    </w:p>
    <w:p>
      <w:pPr>
        <w:pStyle w:val="ListBullet"/>
      </w:pPr>
      <w:r>
        <w:t>Regional teams in APAC follow the same policy with localized legal review.</w:t>
      </w:r>
    </w:p>
    <w:p>
      <w:pPr>
        <w:pStyle w:val="ListBullet"/>
      </w:pPr>
      <w:r>
        <w:t>The Finance organization uses Azure AD to enforce consistent service baselines.</w:t>
      </w:r>
    </w:p>
    <w:p>
      <w:pPr>
        <w:pStyle w:val="ListBullet"/>
      </w:pPr>
      <w:r>
        <w:t>Audit sampling occurs monthly and is summarized in leadership dashboards.</w:t>
      </w:r>
    </w:p>
    <w:p>
      <w:pPr>
        <w:pStyle w:val="ListBullet"/>
      </w:pPr>
      <w:r>
        <w:t>Audit sampling occurs monthly and is summarized in leadership dashboards.</w:t>
      </w:r>
    </w:p>
    <w:p>
      <w:pPr>
        <w:pStyle w:val="Heading1"/>
      </w:pPr>
      <w:r>
        <w:t>Operational Procedures</w:t>
      </w:r>
    </w:p>
    <w:p>
      <w:r>
        <w:t>All changes require peer review and validation in the Document Repository before production promotion. Regional teams in APAC follow the same policy with localized legal review.</w:t>
      </w:r>
    </w:p>
    <w:p>
      <w:pPr>
        <w:pStyle w:val="ListBullet"/>
      </w:pPr>
      <w:r>
        <w:t>All changes require peer review and validation in the Document Repository before production promotion.</w:t>
      </w:r>
    </w:p>
    <w:p>
      <w:pPr>
        <w:pStyle w:val="ListBullet"/>
      </w:pPr>
      <w:r>
        <w:t>We prioritize customer impact, data integrity, and regulatory alignment.</w:t>
      </w:r>
    </w:p>
    <w:p>
      <w:pPr>
        <w:pStyle w:val="ListBullet"/>
      </w:pPr>
      <w:r>
        <w:t>The process integrates with Document Repository and depends on Azure AD for telemetry signals.</w:t>
      </w:r>
    </w:p>
    <w:p>
      <w:pPr>
        <w:pStyle w:val="Heading1"/>
      </w:pPr>
      <w:r>
        <w:t>Rollback Strategy</w:t>
      </w:r>
    </w:p>
    <w:p>
      <w:r>
        <w:t>The process integrates with Document Repository and depends on Azure AD for telemetry signals. This document aligns with ISO 27001 requirements and supports APAC data residency expectations. Systems are monitored via Azure AD and alert routing in SAP.</w:t>
      </w:r>
    </w:p>
    <w:p>
      <w:r>
        <w:t>Escalations should follow the on-call rotation with a response target of 30 minutes. All changes require peer review and validation in the Document Repository before production promotion.</w:t>
      </w:r>
    </w:p>
    <w:p>
      <w:pPr>
        <w:pStyle w:val="ListBullet"/>
      </w:pPr>
      <w:r>
        <w:t>All changes require peer review and validation in the Document Repository before production promotion.</w:t>
      </w:r>
    </w:p>
    <w:p>
      <w:pPr>
        <w:pStyle w:val="ListBullet"/>
      </w:pPr>
      <w:r>
        <w:t>This document aligns with ISO 27001 requirements and supports APAC data residency expectations.</w:t>
      </w:r>
    </w:p>
    <w:p>
      <w:pPr>
        <w:pStyle w:val="ListBullet"/>
      </w:pPr>
      <w:r>
        <w:t>The Finance team coordinates with Finance Analyst to maintain operational readiness.</w:t>
      </w:r>
    </w:p>
    <w:p>
      <w:pPr>
        <w:pStyle w:val="ListBullet"/>
      </w:pPr>
      <w:r>
        <w:t>Escalations should follow the on-call rotation with a response target of 30 minutes.</w:t>
      </w:r>
    </w:p>
    <w:p>
      <w:pPr>
        <w:pStyle w:val="ListBullet"/>
      </w:pPr>
      <w:r>
        <w:t>The Finance organization uses Azure AD to enforce consistent service baselines.</w:t>
      </w:r>
    </w:p>
    <w:p>
      <w:pPr>
        <w:pStyle w:val="ListBullet"/>
      </w:pPr>
      <w:r>
        <w:t>Systems are monitored via Azure AD and alert routing in SAP.</w:t>
      </w:r>
    </w:p>
    <w:p>
      <w:pPr>
        <w:pStyle w:val="Heading1"/>
      </w:pPr>
      <w:r>
        <w:t>Escalation</w:t>
      </w:r>
    </w:p>
    <w:p>
      <w:r>
        <w:t>Teams must log requests in SAP and track outcomes in Document Repository for audit readiness. Regional teams in APAC follow the same policy with localized legal review. All changes require peer review and validation in the Document Repository before production promotion. Evidence artifacts are retained in SAP for at least 36 months.</w:t>
      </w:r>
    </w:p>
    <w:p>
      <w:r>
        <w:t>All incidents are tagged with severity and mapped to service tiers. The process integrates with Document Repository and depends on Azure AD for telemetry signals. Audit sampling occurs monthly and is summarized in leadership dashboards. All incidents are tagged with severity and mapped to service tiers.</w:t>
      </w:r>
    </w:p>
    <w:p>
      <w:pPr>
        <w:pStyle w:val="ListBullet"/>
      </w:pPr>
      <w:r>
        <w:t>The Finance organization uses Azure AD to enforce consistent service baselines.</w:t>
      </w:r>
    </w:p>
    <w:p>
      <w:pPr>
        <w:pStyle w:val="ListBullet"/>
      </w:pPr>
      <w:r>
        <w:t>The Finance organization uses Azure AD to enforce consistent service baselines.</w:t>
      </w:r>
    </w:p>
    <w:p>
      <w:pPr>
        <w:pStyle w:val="ListBullet"/>
      </w:pPr>
      <w:r>
        <w:t>All changes require peer review and validation in the Document Repository before production promotion.</w:t>
      </w:r>
    </w:p>
    <w:p>
      <w:pPr>
        <w:pStyle w:val="ListBullet"/>
      </w:pPr>
      <w:r>
        <w:t>The process integrates with Document Repository and depends on Azure AD for telemetry signals.</w:t>
      </w:r>
    </w:p>
    <w:p>
      <w:pPr>
        <w:pStyle w:val="ListBullet"/>
      </w:pPr>
      <w:r>
        <w:t>The process integrates with Document Repository and depends on Azure AD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