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Human Resources EU v1.1</w:t>
      </w:r>
    </w:p>
    <w:p>
      <w:r>
        <w:t>Department: Human Resources</w:t>
      </w:r>
    </w:p>
    <w:p>
      <w:r>
        <w:t>Author: Riley Garcia</w:t>
      </w:r>
    </w:p>
    <w:p>
      <w:r>
        <w:t>Created date: 2026-02-16</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This document aligns with GDPR requirements and supports EU data residency expectations. All changes require peer review and validation in the CRM Platform before production promotion. Risk acceptance must be documented and revalidated each quarter. Systems are monitored via Azure and alert routing in Workday.</w:t>
      </w:r>
    </w:p>
    <w:p>
      <w:r>
        <w:t>We prioritize customer impact, data integrity, and regulatory alignment. This document aligns with GDPR requirements and supports EU data residency expectations. The process integrates with CRM Platform and depends on Azure for telemetry signals.</w:t>
      </w:r>
    </w:p>
    <w:p>
      <w:pPr>
        <w:pStyle w:val="ListBullet"/>
      </w:pPr>
      <w:r>
        <w:t>All incidents are tagged with severity and mapped to service tiers.</w:t>
      </w:r>
    </w:p>
    <w:p>
      <w:pPr>
        <w:pStyle w:val="ListBullet"/>
      </w:pPr>
      <w:r>
        <w:t>Evidence artifacts are retained in Workday for at least 12 months.</w:t>
      </w:r>
    </w:p>
    <w:p>
      <w:pPr>
        <w:pStyle w:val="ListBullet"/>
      </w:pPr>
      <w:r>
        <w:t>Escalations should follow the on-call rotation with a response target of 60 minutes.</w:t>
      </w:r>
    </w:p>
    <w:p>
      <w:pPr>
        <w:pStyle w:val="ListBullet"/>
      </w:pPr>
      <w:r>
        <w:t>Regional teams in EU follow the same policy with localized legal review.</w:t>
      </w:r>
    </w:p>
    <w:p>
      <w:pPr>
        <w:pStyle w:val="Heading1"/>
      </w:pPr>
      <w:r>
        <w:t>Dependencies</w:t>
      </w:r>
    </w:p>
    <w:p>
      <w:r>
        <w:t>Escalations should follow the on-call rotation with a response target of 60 minutes. Escalations should follow the on-call rotation with a response target of 60 minutes. Evidence artifacts are retained in Workday for at least 12 months. Risk acceptance must be documented and revalidated each quarter.</w:t>
      </w:r>
    </w:p>
    <w:p>
      <w:r>
        <w:t>Audit sampling occurs monthly and is summarized in leadership dashboards. All incidents are tagged with severity and mapped to service tiers. The Human Resources team coordinates with Release Manager to maintain operational readiness. Evidence artifacts are retained in Workday for at least 12 months.</w:t>
      </w:r>
    </w:p>
    <w:p>
      <w:pPr>
        <w:pStyle w:val="ListBullet"/>
      </w:pPr>
      <w:r>
        <w:t>The Human Resources team coordinates with Release Manager to maintain operational readiness.</w:t>
      </w:r>
    </w:p>
    <w:p>
      <w:pPr>
        <w:pStyle w:val="ListBullet"/>
      </w:pPr>
      <w:r>
        <w:t>Audit sampling occurs monthly and is summarized in leadership dashboards.</w:t>
      </w:r>
    </w:p>
    <w:p>
      <w:pPr>
        <w:pStyle w:val="ListBullet"/>
      </w:pPr>
      <w:r>
        <w:t>This document aligns with GDPR requirements and supports EU data residency expectations.</w:t>
      </w:r>
    </w:p>
    <w:p>
      <w:pPr>
        <w:pStyle w:val="ListBullet"/>
      </w:pPr>
      <w:r>
        <w:t>The process integrates with CRM Platform and depends on Azure for telemetry signals.</w:t>
      </w:r>
    </w:p>
    <w:p>
      <w:pPr>
        <w:pStyle w:val="ListBullet"/>
      </w:pPr>
      <w:r>
        <w:t>Risk acceptance must be documented and revalidated each quarter.</w:t>
      </w:r>
    </w:p>
    <w:p>
      <w:pPr>
        <w:pStyle w:val="ListBullet"/>
      </w:pPr>
      <w:r>
        <w:t>Audit sampling occurs monthly and is summarized in leadership dashboards.</w:t>
      </w:r>
    </w:p>
    <w:p>
      <w:pPr>
        <w:pStyle w:val="Heading1"/>
      </w:pPr>
      <w:r>
        <w:t>Operational Procedures</w:t>
      </w:r>
    </w:p>
    <w:p>
      <w:r>
        <w:t>The Human Resources organization uses Azure to enforce consistent service baselines. The process integrates with CRM Platform and depends on Azure for telemetry signals. Regional teams in EU follow the same policy with localized legal review.</w:t>
      </w:r>
    </w:p>
    <w:p>
      <w:pPr>
        <w:pStyle w:val="ListBullet"/>
      </w:pPr>
      <w:r>
        <w:t>Stakeholders include the Release Manager, service owner, and compliance lead for approvals.</w:t>
      </w:r>
    </w:p>
    <w:p>
      <w:pPr>
        <w:pStyle w:val="ListBullet"/>
      </w:pPr>
      <w:r>
        <w:t>Risk acceptance must be documented and revalidated each quarter.</w:t>
      </w:r>
    </w:p>
    <w:p>
      <w:pPr>
        <w:pStyle w:val="ListBullet"/>
      </w:pPr>
      <w:r>
        <w:t>Evidence artifacts are retained in Workday for at least 12 months.</w:t>
      </w:r>
    </w:p>
    <w:p>
      <w:pPr>
        <w:pStyle w:val="Heading1"/>
      </w:pPr>
      <w:r>
        <w:t>Rollback Strategy</w:t>
      </w:r>
    </w:p>
    <w:p>
      <w:r>
        <w:t>Audit sampling occurs monthly and is summarized in leadership dashboards. Regional teams in EU follow the same policy with localized legal review.</w:t>
      </w:r>
    </w:p>
    <w:p>
      <w:pPr>
        <w:pStyle w:val="ListBullet"/>
      </w:pPr>
      <w:r>
        <w:t>Regional teams in EU follow the same policy with localized legal review.</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Systems are monitored via Azure and alert routing in Workday.</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Blocked</w:t>
            </w:r>
          </w:p>
        </w:tc>
      </w:tr>
      <w:tr>
        <w:tc>
          <w:tcPr>
            <w:tcW w:type="dxa" w:w="2880"/>
          </w:tcPr>
          <w:p>
            <w:r>
              <w:t>Access review</w:t>
            </w:r>
          </w:p>
        </w:tc>
        <w:tc>
          <w:tcPr>
            <w:tcW w:type="dxa" w:w="2880"/>
          </w:tcPr>
          <w:p>
            <w:r>
              <w:t>Release Manager</w:t>
            </w:r>
          </w:p>
        </w:tc>
        <w:tc>
          <w:tcPr>
            <w:tcW w:type="dxa" w:w="2880"/>
          </w:tcPr>
          <w:p>
            <w:r>
              <w:t>Complete</w:t>
            </w:r>
          </w:p>
        </w:tc>
      </w:tr>
      <w:tr>
        <w:tc>
          <w:tcPr>
            <w:tcW w:type="dxa" w:w="2880"/>
          </w:tcPr>
          <w:p>
            <w:r>
              <w:t>Incident drill</w:t>
            </w:r>
          </w:p>
        </w:tc>
        <w:tc>
          <w:tcPr>
            <w:tcW w:type="dxa" w:w="2880"/>
          </w:tcPr>
          <w:p>
            <w:r>
              <w:t>Release Manager</w:t>
            </w:r>
          </w:p>
        </w:tc>
        <w:tc>
          <w:tcPr>
            <w:tcW w:type="dxa" w:w="2880"/>
          </w:tcPr>
          <w:p>
            <w:r>
              <w:t>Planned</w:t>
            </w:r>
          </w:p>
        </w:tc>
      </w:tr>
    </w:tbl>
    <w:p>
      <w:pPr>
        <w:pStyle w:val="Heading1"/>
      </w:pPr>
      <w:r>
        <w:t>Escalation</w:t>
      </w:r>
    </w:p>
    <w:p>
      <w:r>
        <w:t>The Human Resources organization uses Azure to enforce consistent service baselines. This document aligns with GDPR requirements and supports EU data residency expectations. All changes require peer review and validation in the CRM Platform before production promotion.</w:t>
      </w:r>
    </w:p>
    <w:p>
      <w:pPr>
        <w:pStyle w:val="ListBullet"/>
      </w:pPr>
      <w:r>
        <w:t>The Human Resources organization uses Azure to enforce consistent service baselines.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Stakeholders include the Release Manager,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