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Information Technology EU v2.0</w:t>
      </w:r>
    </w:p>
    <w:p>
      <w:r>
        <w:t>Department: Information Technology</w:t>
      </w:r>
    </w:p>
    <w:p>
      <w:r>
        <w:t>Author: Taylor Lee</w:t>
      </w:r>
    </w:p>
    <w:p>
      <w:r>
        <w:t>Created date: 2026-01-14</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Escalations should follow the on-call rotation with a response target of 15 minutes. The Information Technology team coordinates with Platform Engineer to maintain operational readiness.</w:t>
      </w:r>
    </w:p>
    <w:p>
      <w:r>
        <w:t>Risk acceptance must be documented and revalidated each quarter. Teams must log requests in Zoom and track outcomes in Identity Access Gateway for audit readiness.</w:t>
      </w:r>
    </w:p>
    <w:p>
      <w:pPr>
        <w:pStyle w:val="ListBullet"/>
      </w:pPr>
      <w:r>
        <w:t>All changes require peer review and validation in the Identity Access Gateway before production promotion.</w:t>
      </w:r>
    </w:p>
    <w:p>
      <w:pPr>
        <w:pStyle w:val="ListBullet"/>
      </w:pPr>
      <w:r>
        <w:t>Systems are monitored via Prometheus and alert routing in Zoom.</w:t>
      </w:r>
    </w:p>
    <w:p>
      <w:pPr>
        <w:pStyle w:val="ListBullet"/>
      </w:pPr>
      <w:r>
        <w:t>Systems are monitored via Prometheus and alert routing in Zoom.</w:t>
      </w:r>
    </w:p>
    <w:p>
      <w:pPr>
        <w:pStyle w:val="ListBullet"/>
      </w:pPr>
      <w:r>
        <w:t>All incidents are tagged with severity and mapped to service tiers.</w:t>
      </w:r>
    </w:p>
    <w:p>
      <w:pPr>
        <w:pStyle w:val="ListBullet"/>
      </w:pPr>
      <w:r>
        <w:t>Risk acceptance must be documented and revalidated each quarter.</w:t>
      </w:r>
    </w:p>
    <w:p>
      <w:pPr>
        <w:pStyle w:val="Heading1"/>
      </w:pPr>
      <w:r>
        <w:t>Dependencies</w:t>
      </w:r>
    </w:p>
    <w:p>
      <w:r>
        <w:t>Evidence artifacts are retained in Zoom for at least 36 months. Stakeholders include the Platform Engineer, service owner, and compliance lead for approvals. Systems are monitored via Prometheus and alert routing in Zoom.</w:t>
      </w:r>
    </w:p>
    <w:p>
      <w:r>
        <w:t>The process integrates with Identity Access Gateway and depends on Prometheus for telemetry signals. Audit sampling occurs monthly and is summarized in leadership dashboards. Regional teams in EU follow the same policy with localized legal review. The process integrates with Identity Access Gateway and depends on Prometheus for telemetry signals.</w:t>
      </w:r>
    </w:p>
    <w:p>
      <w:pPr>
        <w:pStyle w:val="ListBullet"/>
      </w:pPr>
      <w:r>
        <w:t>Evidence artifacts are retained in Zoom for at least 36 months.</w:t>
      </w:r>
    </w:p>
    <w:p>
      <w:pPr>
        <w:pStyle w:val="ListBullet"/>
      </w:pPr>
      <w:r>
        <w:t>The process integrates with Identity Access Gateway and depends on Prometheus for telemetry signals.</w:t>
      </w:r>
    </w:p>
    <w:p>
      <w:pPr>
        <w:pStyle w:val="ListBullet"/>
      </w:pPr>
      <w:r>
        <w:t>The Information Technology team coordinates with Platform Engineer to maintain operational readiness.</w:t>
      </w:r>
    </w:p>
    <w:p>
      <w:pPr>
        <w:pStyle w:val="ListBullet"/>
      </w:pPr>
      <w:r>
        <w:t>All incidents are tagged with severity and mapped to service tiers.</w:t>
      </w:r>
    </w:p>
    <w:p>
      <w:pPr>
        <w:pStyle w:val="ListBullet"/>
      </w:pPr>
      <w:r>
        <w:t>The process integrates with Identity Access Gateway and depends on Prometheus for telemetry signals.</w:t>
      </w:r>
    </w:p>
    <w:p>
      <w:pPr>
        <w:pStyle w:val="ListBullet"/>
      </w:pPr>
      <w:r>
        <w:t>Teams must log requests in Zoom and track outcomes in Identity Access Gateway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Incident drill</w:t>
            </w:r>
          </w:p>
        </w:tc>
        <w:tc>
          <w:tcPr>
            <w:tcW w:type="dxa" w:w="2880"/>
          </w:tcPr>
          <w:p>
            <w:r>
              <w:t>Information Technology</w:t>
            </w:r>
          </w:p>
        </w:tc>
        <w:tc>
          <w:tcPr>
            <w:tcW w:type="dxa" w:w="2880"/>
          </w:tcPr>
          <w:p>
            <w:r>
              <w:t>Complete</w:t>
            </w:r>
          </w:p>
        </w:tc>
      </w:tr>
      <w:tr>
        <w:tc>
          <w:tcPr>
            <w:tcW w:type="dxa" w:w="2880"/>
          </w:tcPr>
          <w:p>
            <w:r>
              <w:t>Incident drill</w:t>
            </w:r>
          </w:p>
        </w:tc>
        <w:tc>
          <w:tcPr>
            <w:tcW w:type="dxa" w:w="2880"/>
          </w:tcPr>
          <w:p>
            <w:r>
              <w:t>Operations</w:t>
            </w:r>
          </w:p>
        </w:tc>
        <w:tc>
          <w:tcPr>
            <w:tcW w:type="dxa" w:w="2880"/>
          </w:tcPr>
          <w:p>
            <w:r>
              <w:t>Planned</w:t>
            </w:r>
          </w:p>
        </w:tc>
      </w:tr>
      <w:tr>
        <w:tc>
          <w:tcPr>
            <w:tcW w:type="dxa" w:w="2880"/>
          </w:tcPr>
          <w:p>
            <w:r>
              <w:t>Patch window</w:t>
            </w:r>
          </w:p>
        </w:tc>
        <w:tc>
          <w:tcPr>
            <w:tcW w:type="dxa" w:w="2880"/>
          </w:tcPr>
          <w:p>
            <w:r>
              <w:t>Operations</w:t>
            </w:r>
          </w:p>
        </w:tc>
        <w:tc>
          <w:tcPr>
            <w:tcW w:type="dxa" w:w="2880"/>
          </w:tcPr>
          <w:p>
            <w:r>
              <w:t>Planned</w:t>
            </w:r>
          </w:p>
        </w:tc>
      </w:tr>
    </w:tbl>
    <w:p>
      <w:pPr>
        <w:pStyle w:val="Heading1"/>
      </w:pPr>
      <w:r>
        <w:t>Operational Procedures</w:t>
      </w:r>
    </w:p>
    <w:p>
      <w:r>
        <w:t>Teams must log requests in Zoom and track outcomes in Identity Access Gateway for audit readiness. Teams must log requests in Zoom and track outcomes in Identity Access Gateway for audit readiness.</w:t>
      </w:r>
    </w:p>
    <w:p>
      <w:r>
        <w:t>The process integrates with Identity Access Gateway and depends on Prometheus for telemetry signals. The Information Technology organization uses Prometheus to enforce consistent service baselines.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Risk acceptance must be documented and revalidated each quarter.</w:t>
      </w:r>
    </w:p>
    <w:p>
      <w:pPr>
        <w:pStyle w:val="ListBullet"/>
      </w:pPr>
      <w:r>
        <w:t>The process integrates with Identity Access Gateway and depends on Prometheus for telemetry signals.</w:t>
      </w:r>
    </w:p>
    <w:p>
      <w:pPr>
        <w:pStyle w:val="Heading1"/>
      </w:pPr>
      <w:r>
        <w:t>Rollback Strategy</w:t>
      </w:r>
    </w:p>
    <w:p>
      <w:r>
        <w:t>Audit sampling occurs monthly and is summarized in leadership dashboards. The process integrates with Identity Access Gateway and depends on Prometheus for telemetry signals. Teams must log requests in Zoom and track outcomes in Identity Access Gateway for audit readiness. Risk acceptance must be documented and revalidated each quarter.</w:t>
      </w:r>
    </w:p>
    <w:p>
      <w:r>
        <w:t>The process integrates with Identity Access Gateway and depends on Prometheus for telemetry signals. Audit sampling occurs monthly and is summarized in leadership dashboards. Escalations should follow the on-call rotation with a response target of 15 minutes.</w:t>
      </w:r>
    </w:p>
    <w:p>
      <w:pPr>
        <w:pStyle w:val="ListBullet"/>
      </w:pPr>
      <w:r>
        <w:t>We prioritize customer impact, data integrity, and regulatory alignment.</w:t>
      </w:r>
    </w:p>
    <w:p>
      <w:pPr>
        <w:pStyle w:val="ListBullet"/>
      </w:pPr>
      <w:r>
        <w:t>Regional teams in EU follow the same policy with localized legal review.</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This document aligns with SOX requirements and supports EU data residency expectations.</w:t>
      </w:r>
    </w:p>
    <w:p>
      <w:pPr>
        <w:pStyle w:val="ListBullet"/>
      </w:pPr>
      <w:r>
        <w:t>Evidence artifacts are retained in Zoom for at least 36 months.</w:t>
      </w:r>
    </w:p>
    <w:p>
      <w:pPr>
        <w:pStyle w:val="Heading1"/>
      </w:pPr>
      <w:r>
        <w:t>Escalation</w:t>
      </w:r>
    </w:p>
    <w:p>
      <w:r>
        <w:t>Escalations should follow the on-call rotation with a response target of 15 minutes. Audit sampling occurs monthly and is summarized in leadership dashboards. All changes require peer review and validation in the Identity Access Gateway before production promotion. All incidents are tagged with severity and mapped to service tiers.</w:t>
      </w:r>
    </w:p>
    <w:p>
      <w:pPr>
        <w:pStyle w:val="ListBullet"/>
      </w:pPr>
      <w:r>
        <w:t>The Information Technology organization uses Prometheus to enforce consistent service baselines.</w:t>
      </w:r>
    </w:p>
    <w:p>
      <w:pPr>
        <w:pStyle w:val="ListBullet"/>
      </w:pPr>
      <w:r>
        <w:t>Evidence artifacts are retained in Zoom for at least 36 months.</w:t>
      </w:r>
    </w:p>
    <w:p>
      <w:pPr>
        <w:pStyle w:val="ListBullet"/>
      </w:pPr>
      <w:r>
        <w:t>The Information Technology organization uses Prometheus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