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Engineering Runbooks - Operations US v2.0</w:t>
      </w:r>
    </w:p>
    <w:p>
      <w:r>
        <w:t>Department: Operations</w:t>
      </w:r>
    </w:p>
    <w:p>
      <w:r>
        <w:t>Author: Alex Smith</w:t>
      </w:r>
    </w:p>
    <w:p>
      <w:r>
        <w:t>Created date: 2026-02-08</w:t>
      </w:r>
    </w:p>
    <w:p>
      <w:r>
        <w:t>Region: US</w:t>
      </w:r>
    </w:p>
    <w:p>
      <w:r>
        <w:t>Version: 2.0</w:t>
      </w:r>
    </w:p>
    <w:p>
      <w:r>
        <w:t>This internal document is intended for authorized employees and outlines standard guidance for enterprise operations.</w:t>
      </w:r>
    </w:p>
    <w:p>
      <w:r>
        <w:t>Where possible, teams should reuse existing patterns, templates, and approved tooling to reduce operational risk.</w:t>
      </w:r>
    </w:p>
    <w:p>
      <w:r>
        <w:t>Any deviation from the described process must be approved through the documented exception workflow.</w:t>
      </w:r>
    </w:p>
    <w:p>
      <w:pPr>
        <w:pStyle w:val="Heading1"/>
      </w:pPr>
      <w:r>
        <w:t>Service Summary</w:t>
      </w:r>
    </w:p>
    <w:p>
      <w:r>
        <w:t>Audit sampling occurs monthly and is summarized in leadership dashboards. The process integrates with Customer Data Lake and depends on Prometheus for telemetry signals.</w:t>
      </w:r>
    </w:p>
    <w:p>
      <w:r>
        <w:t>Risk acceptance must be documented and revalidated each quarter. The Operations organization uses Prometheus to enforce consistent service baselines. Audit sampling occurs monthly and is summarized in leadership dashboards. Audit sampling occurs monthly and is summarized in leadership dashboards.</w:t>
      </w:r>
    </w:p>
    <w:p>
      <w:pPr>
        <w:pStyle w:val="ListBullet"/>
      </w:pPr>
      <w:r>
        <w:t>This document aligns with PCI DSS requirements and supports US data residency expectations.</w:t>
      </w:r>
    </w:p>
    <w:p>
      <w:pPr>
        <w:pStyle w:val="ListBullet"/>
      </w:pPr>
      <w:r>
        <w:t>The Operations organization uses Prometheus to enforce consistent service baselines.</w:t>
      </w:r>
    </w:p>
    <w:p>
      <w:pPr>
        <w:pStyle w:val="ListBullet"/>
      </w:pPr>
      <w:r>
        <w:t>We prioritize customer impact, data integrity, and regulatory alignment.</w:t>
      </w:r>
    </w:p>
    <w:p>
      <w:pPr>
        <w:pStyle w:val="ListBullet"/>
      </w:pPr>
      <w:r>
        <w:t>The process integrates with Customer Data Lake and depends on Prometheus for telemetry signals.</w:t>
      </w:r>
    </w:p>
    <w:p>
      <w:pPr>
        <w:pStyle w:val="Heading1"/>
      </w:pPr>
      <w:r>
        <w:t>Dependencies</w:t>
      </w:r>
    </w:p>
    <w:p>
      <w:r>
        <w:t>This document aligns with PCI DSS requirements and supports US data residency expectations. Regional teams in US follow the same policy with localized legal review.</w:t>
      </w:r>
    </w:p>
    <w:p>
      <w:r>
        <w:t>The Operations team coordinates with Release Manager to maintain operational readiness. The Operations organization uses Prometheus to enforce consistent service baselines. Escalations should follow the on-call rotation with a response target of 15 minutes. Systems are monitored via Prometheus and alert routing in Microsoft 365.</w:t>
      </w:r>
    </w:p>
    <w:p>
      <w:pPr>
        <w:pStyle w:val="ListBullet"/>
      </w:pPr>
      <w:r>
        <w:t>Systems are monitored via Prometheus and alert routing in Microsoft 365.</w:t>
      </w:r>
    </w:p>
    <w:p>
      <w:pPr>
        <w:pStyle w:val="ListBullet"/>
      </w:pPr>
      <w:r>
        <w:t>Systems are monitored via Prometheus and alert routing in Microsoft 365.</w:t>
      </w:r>
    </w:p>
    <w:p>
      <w:pPr>
        <w:pStyle w:val="ListBullet"/>
      </w:pPr>
      <w:r>
        <w:t>All incidents are tagged with severity and mapped to service tiers.</w:t>
      </w:r>
    </w:p>
    <w:p>
      <w:pPr>
        <w:pStyle w:val="ListBullet"/>
      </w:pPr>
      <w:r>
        <w:t>Audit sampling occurs monthly and is summarized in leadership dashboards.</w:t>
      </w:r>
    </w:p>
    <w:p>
      <w:pPr>
        <w:pStyle w:val="ListBullet"/>
      </w:pPr>
      <w:r>
        <w:t>Regional teams in US follow the same policy with localized legal review.</w:t>
      </w:r>
    </w:p>
    <w:p>
      <w:pPr>
        <w:pStyle w:val="Heading1"/>
      </w:pPr>
      <w:r>
        <w:t>Operational Procedures</w:t>
      </w:r>
    </w:p>
    <w:p>
      <w:r>
        <w:t>Evidence artifacts are retained in Microsoft 365 for at least 36 months. All changes require peer review and validation in the Customer Data Lake before production promotion. Regional teams in US follow the same policy with localized legal review. All incidents are tagged with severity and mapped to service tiers.</w:t>
      </w:r>
    </w:p>
    <w:p>
      <w:r>
        <w:t>We prioritize customer impact, data integrity, and regulatory alignment. We prioritize customer impact, data integrity, and regulatory alignment. We prioritize customer impact, data integrity, and regulatory alignment.</w:t>
      </w:r>
    </w:p>
    <w:p>
      <w:pPr>
        <w:pStyle w:val="ListBullet"/>
      </w:pPr>
      <w:r>
        <w:t>The process integrates with Customer Data Lake and depends on Prometheus for telemetry signals.</w:t>
      </w:r>
    </w:p>
    <w:p>
      <w:pPr>
        <w:pStyle w:val="ListBullet"/>
      </w:pPr>
      <w:r>
        <w:t>The Operations organization uses Prometheus to enforce consistent service baselines.</w:t>
      </w:r>
    </w:p>
    <w:p>
      <w:pPr>
        <w:pStyle w:val="ListBullet"/>
      </w:pPr>
      <w:r>
        <w:t>All changes require peer review and validation in the Customer Data Lake before production promotion.</w:t>
      </w:r>
    </w:p>
    <w:tbl>
      <w:tblPr>
        <w:tblW w:type="auto" w:w="0"/>
        <w:tblLook w:firstColumn="1" w:firstRow="1" w:lastColumn="0" w:lastRow="0" w:noHBand="0" w:noVBand="1" w:val="04A0"/>
      </w:tblPr>
      <w:tblGrid>
        <w:gridCol w:w="2880"/>
        <w:gridCol w:w="2880"/>
        <w:gridCol w:w="2880"/>
      </w:tblGrid>
      <w:tr>
        <w:tc>
          <w:tcPr>
            <w:tcW w:type="dxa" w:w="2880"/>
          </w:tcPr>
          <w:p>
            <w:r>
              <w:t>Item</w:t>
            </w:r>
          </w:p>
        </w:tc>
        <w:tc>
          <w:tcPr>
            <w:tcW w:type="dxa" w:w="2880"/>
          </w:tcPr>
          <w:p>
            <w:r>
              <w:t>Owner</w:t>
            </w:r>
          </w:p>
        </w:tc>
        <w:tc>
          <w:tcPr>
            <w:tcW w:type="dxa" w:w="2880"/>
          </w:tcPr>
          <w:p>
            <w:r>
              <w:t>Status</w:t>
            </w:r>
          </w:p>
        </w:tc>
      </w:tr>
      <w:tr>
        <w:tc>
          <w:tcPr>
            <w:tcW w:type="dxa" w:w="2880"/>
          </w:tcPr>
          <w:p>
            <w:r>
              <w:t>Patch window</w:t>
            </w:r>
          </w:p>
        </w:tc>
        <w:tc>
          <w:tcPr>
            <w:tcW w:type="dxa" w:w="2880"/>
          </w:tcPr>
          <w:p>
            <w:r>
              <w:t>Operations</w:t>
            </w:r>
          </w:p>
        </w:tc>
        <w:tc>
          <w:tcPr>
            <w:tcW w:type="dxa" w:w="2880"/>
          </w:tcPr>
          <w:p>
            <w:r>
              <w:t>Blocked</w:t>
            </w:r>
          </w:p>
        </w:tc>
      </w:tr>
      <w:tr>
        <w:tc>
          <w:tcPr>
            <w:tcW w:type="dxa" w:w="2880"/>
          </w:tcPr>
          <w:p>
            <w:r>
              <w:t>Vendor check</w:t>
            </w:r>
          </w:p>
        </w:tc>
        <w:tc>
          <w:tcPr>
            <w:tcW w:type="dxa" w:w="2880"/>
          </w:tcPr>
          <w:p>
            <w:r>
              <w:t>Operations</w:t>
            </w:r>
          </w:p>
        </w:tc>
        <w:tc>
          <w:tcPr>
            <w:tcW w:type="dxa" w:w="2880"/>
          </w:tcPr>
          <w:p>
            <w:r>
              <w:t>In Progress</w:t>
            </w:r>
          </w:p>
        </w:tc>
      </w:tr>
      <w:tr>
        <w:tc>
          <w:tcPr>
            <w:tcW w:type="dxa" w:w="2880"/>
          </w:tcPr>
          <w:p>
            <w:r>
              <w:t>Vendor check</w:t>
            </w:r>
          </w:p>
        </w:tc>
        <w:tc>
          <w:tcPr>
            <w:tcW w:type="dxa" w:w="2880"/>
          </w:tcPr>
          <w:p>
            <w:r>
              <w:t>Release Manager</w:t>
            </w:r>
          </w:p>
        </w:tc>
        <w:tc>
          <w:tcPr>
            <w:tcW w:type="dxa" w:w="2880"/>
          </w:tcPr>
          <w:p>
            <w:r>
              <w:t>Blocked</w:t>
            </w:r>
          </w:p>
        </w:tc>
      </w:tr>
      <w:tr>
        <w:tc>
          <w:tcPr>
            <w:tcW w:type="dxa" w:w="2880"/>
          </w:tcPr>
          <w:p>
            <w:r>
              <w:t>Access review</w:t>
            </w:r>
          </w:p>
        </w:tc>
        <w:tc>
          <w:tcPr>
            <w:tcW w:type="dxa" w:w="2880"/>
          </w:tcPr>
          <w:p>
            <w:r>
              <w:t>Operations</w:t>
            </w:r>
          </w:p>
        </w:tc>
        <w:tc>
          <w:tcPr>
            <w:tcW w:type="dxa" w:w="2880"/>
          </w:tcPr>
          <w:p>
            <w:r>
              <w:t>In Progress</w:t>
            </w:r>
          </w:p>
        </w:tc>
      </w:tr>
    </w:tbl>
    <w:p>
      <w:pPr>
        <w:pStyle w:val="Heading1"/>
      </w:pPr>
      <w:r>
        <w:t>Rollback Strategy</w:t>
      </w:r>
    </w:p>
    <w:p>
      <w:r>
        <w:t>Regional teams in US follow the same policy with localized legal review. The process integrates with Customer Data Lake and depends on Prometheus for telemetry signals. Escalations should follow the on-call rotation with a response target of 15 minutes.</w:t>
      </w:r>
    </w:p>
    <w:p>
      <w:pPr>
        <w:pStyle w:val="ListBullet"/>
      </w:pPr>
      <w:r>
        <w:t>Stakeholders include the Release Manager, service owner, and compliance lead for approvals.</w:t>
      </w:r>
    </w:p>
    <w:p>
      <w:pPr>
        <w:pStyle w:val="ListBullet"/>
      </w:pPr>
      <w:r>
        <w:t>Stakeholders include the Release Manager, service owner, and compliance lead for approvals.</w:t>
      </w:r>
    </w:p>
    <w:p>
      <w:pPr>
        <w:pStyle w:val="ListBullet"/>
      </w:pPr>
      <w:r>
        <w:t>Regional teams in US follow the same policy with localized legal review.</w:t>
      </w:r>
    </w:p>
    <w:p>
      <w:pPr>
        <w:pStyle w:val="ListBullet"/>
      </w:pPr>
      <w:r>
        <w:t>Audit sampling occurs monthly and is summarized in leadership dashboards.</w:t>
      </w:r>
    </w:p>
    <w:p>
      <w:pPr>
        <w:pStyle w:val="ListBullet"/>
      </w:pPr>
      <w:r>
        <w:t>Teams must log requests in Microsoft 365 and track outcomes in Customer Data Lake for audit readiness.</w:t>
      </w:r>
    </w:p>
    <w:p>
      <w:pPr>
        <w:pStyle w:val="ListBullet"/>
      </w:pPr>
      <w:r>
        <w:t>All changes require peer review and validation in the Customer Data Lake before production promotion.</w:t>
      </w:r>
    </w:p>
    <w:p>
      <w:pPr>
        <w:pStyle w:val="Heading1"/>
      </w:pPr>
      <w:r>
        <w:t>Escalation</w:t>
      </w:r>
    </w:p>
    <w:p>
      <w:r>
        <w:t>Regional teams in US follow the same policy with localized legal review. Regional teams in US follow the same policy with localized legal review. All changes require peer review and validation in the Customer Data Lake before production promotion.</w:t>
      </w:r>
    </w:p>
    <w:p>
      <w:pPr>
        <w:pStyle w:val="ListBullet"/>
      </w:pPr>
      <w:r>
        <w:t>Systems are monitored via Prometheus and alert routing in Microsoft 365.</w:t>
      </w:r>
    </w:p>
    <w:p>
      <w:pPr>
        <w:pStyle w:val="ListBullet"/>
      </w:pPr>
      <w:r>
        <w:t>This document aligns with PCI DSS requirements and supports US data residency expectations.</w:t>
      </w:r>
    </w:p>
    <w:p>
      <w:pPr>
        <w:pStyle w:val="ListBullet"/>
      </w:pPr>
      <w:r>
        <w:t>The process integrates with Customer Data Lake and depends on Prometheus for telemetry signals.</w:t>
      </w:r>
    </w:p>
    <w:p>
      <w:pPr>
        <w:pStyle w:val="ListBullet"/>
      </w:pPr>
      <w:r>
        <w:t>Evidence artifacts are retained in Microsoft 365 for at least 36 months.</w:t>
      </w:r>
    </w:p>
    <w:p>
      <w:pPr>
        <w:pStyle w:val="ListBullet"/>
      </w:pPr>
      <w:r>
        <w:t>We prioritize customer impact, data integrity, and regulatory alignment.</w:t>
      </w:r>
    </w:p>
    <w:p>
      <w:pPr>
        <w:pStyle w:val="ListBullet"/>
      </w:pPr>
      <w:r>
        <w:t>The Operations organization uses Prometheus to enforce consistent service baselines.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