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Security EU v1.0</w:t>
      </w:r>
    </w:p>
    <w:p>
      <w:r>
        <w:t>Department: Security</w:t>
      </w:r>
    </w:p>
    <w:p>
      <w:r>
        <w:t>Author: Avery Kim</w:t>
      </w:r>
    </w:p>
    <w:p>
      <w:r>
        <w:t>Created date: 2024-11-13</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All changes require peer review and validation in the Monitoring Stack before production promotion. Stakeholders include the Release Manager, service owner, and compliance lead for approvals. All changes require peer review and validation in the Monitoring Stack before production promotion.</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All changes require peer review and validation in the Monitoring Stack before production promotion.</w:t>
      </w:r>
    </w:p>
    <w:p>
      <w:pPr>
        <w:pStyle w:val="ListBullet"/>
      </w:pPr>
      <w:r>
        <w:t>The Security organization uses Azure AD to enforce consistent service baselines.</w:t>
      </w:r>
    </w:p>
    <w:p>
      <w:pPr>
        <w:pStyle w:val="ListBullet"/>
      </w:pPr>
      <w:r>
        <w:t>Escalations should follow the on-call rotation with a response target of 60 minutes.</w:t>
      </w:r>
    </w:p>
    <w:p>
      <w:pPr>
        <w:pStyle w:val="ListBullet"/>
      </w:pPr>
      <w:r>
        <w:t>Evidence artifacts are retained in Zoom for at least 24 months.</w:t>
      </w:r>
    </w:p>
    <w:p>
      <w:pPr>
        <w:pStyle w:val="Heading1"/>
      </w:pPr>
      <w:r>
        <w:t>Dependencies</w:t>
      </w:r>
    </w:p>
    <w:p>
      <w:r>
        <w:t>This document aligns with ISO 27001 requirements and supports EU data residency expectations. Audit sampling occurs monthly and is summarized in leadership dashboards.</w:t>
      </w:r>
    </w:p>
    <w:p>
      <w:r>
        <w:t>We prioritize customer impact, data integrity, and regulatory alignment. All incidents are tagged with severity and mapped to service tiers. Teams must log requests in Zoom and track outcomes in Monitoring Stack for audit readiness.</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Systems are monitored via Azure AD and alert routing in Zoom.</w:t>
      </w:r>
    </w:p>
    <w:p>
      <w:pPr>
        <w:pStyle w:val="ListBullet"/>
      </w:pPr>
      <w:r>
        <w:t>The Security organization uses Azure AD to enforce consistent service baselines.</w:t>
      </w:r>
    </w:p>
    <w:p>
      <w:pPr>
        <w:pStyle w:val="ListBullet"/>
      </w:pPr>
      <w:r>
        <w:t>We prioritize customer impact, data integrity, and regulatory alignment.</w:t>
      </w:r>
    </w:p>
    <w:p>
      <w:pPr>
        <w:pStyle w:val="ListBullet"/>
      </w:pPr>
      <w:r>
        <w:t>Teams must log requests in Zoom and track outcomes in Monitoring Stack for audit readiness.</w:t>
      </w:r>
    </w:p>
    <w:p>
      <w:pPr>
        <w:pStyle w:val="Heading1"/>
      </w:pPr>
      <w:r>
        <w:t>Operational Procedures</w:t>
      </w:r>
    </w:p>
    <w:p>
      <w:r>
        <w:t>Evidence artifacts are retained in Zoom for at least 24 months. Systems are monitored via Azure AD and alert routing in Zoom. All changes require peer review and validation in the Monitoring Stack before production promotion. Regional teams in EU follow the same policy with localized legal review.</w:t>
      </w:r>
    </w:p>
    <w:p>
      <w:r>
        <w:t>The process integrates with Monitoring Stack and depends on Azure AD for telemetry signals. All changes require peer review and validation in the Monitoring Stack before production promotion. Evidence artifacts are retained in Zoom for at least 24 months. All incidents are tagged with severity and mapped to service tiers.</w:t>
      </w:r>
    </w:p>
    <w:p>
      <w:pPr>
        <w:pStyle w:val="ListBullet"/>
      </w:pPr>
      <w:r>
        <w:t>Evidence artifacts are retained in Zoom for at least 24 months.</w:t>
      </w:r>
    </w:p>
    <w:p>
      <w:pPr>
        <w:pStyle w:val="ListBullet"/>
      </w:pPr>
      <w:r>
        <w:t>The Security organization uses Azure AD to enforce consistent service baselines.</w:t>
      </w:r>
    </w:p>
    <w:p>
      <w:pPr>
        <w:pStyle w:val="ListBullet"/>
      </w:pPr>
      <w:r>
        <w:t>Regional teams in EU follow the same policy with localized legal review.</w:t>
      </w:r>
    </w:p>
    <w:p>
      <w:pPr>
        <w:pStyle w:val="ListBullet"/>
      </w:pPr>
      <w:r>
        <w:t>The Security organization uses Azure AD to enforce consistent service baselines.</w:t>
      </w:r>
    </w:p>
    <w:p>
      <w:pPr>
        <w:pStyle w:val="ListBullet"/>
      </w:pPr>
      <w:r>
        <w:t>We prioritize customer impact, data integrity, and regulatory alignment.</w:t>
      </w:r>
    </w:p>
    <w:p>
      <w:pPr>
        <w:pStyle w:val="Heading1"/>
      </w:pPr>
      <w:r>
        <w:t>Rollback Strategy</w:t>
      </w:r>
    </w:p>
    <w:p>
      <w:r>
        <w:t>We prioritize customer impact, data integrity, and regulatory alignment. Systems are monitored via Azure AD and alert routing in Zoom.</w:t>
      </w:r>
    </w:p>
    <w:p>
      <w:r>
        <w:t>Stakeholders include the Release Manager, service owner, and compliance lead for approvals. We prioritize customer impact, data integrity, and regulatory alignment. Evidence artifacts are retained in Zoom for at least 24 months. Audit sampling occurs monthly and is summarized in leadership dashboards.</w:t>
      </w:r>
    </w:p>
    <w:p>
      <w:pPr>
        <w:pStyle w:val="ListBullet"/>
      </w:pPr>
      <w:r>
        <w:t>Systems are monitored via Azure AD and alert routing in Zoom.</w:t>
      </w:r>
    </w:p>
    <w:p>
      <w:pPr>
        <w:pStyle w:val="ListBullet"/>
      </w:pPr>
      <w:r>
        <w:t>Risk acceptance must be documented and revalidated each quarter.</w:t>
      </w:r>
    </w:p>
    <w:p>
      <w:pPr>
        <w:pStyle w:val="ListBullet"/>
      </w:pPr>
      <w:r>
        <w:t>Teams must log requests in Zoom and track outcomes in Monitoring Stack for audit readiness.</w:t>
      </w:r>
    </w:p>
    <w:p>
      <w:pPr>
        <w:pStyle w:val="ListBullet"/>
      </w:pPr>
      <w:r>
        <w:t>All incidents are tagged with severity and mapped to service tiers.</w:t>
      </w:r>
    </w:p>
    <w:p>
      <w:pPr>
        <w:pStyle w:val="ListBullet"/>
      </w:pPr>
      <w:r>
        <w:t>Systems are monitored via Azure AD and alert routing in Zoom.</w:t>
      </w:r>
    </w:p>
    <w:p>
      <w:pPr>
        <w:pStyle w:val="ListBullet"/>
      </w:pPr>
      <w:r>
        <w:t>Audit sampling occurs monthly and is summarized in leadership dashboards.</w:t>
      </w:r>
    </w:p>
    <w:p>
      <w:pPr>
        <w:pStyle w:val="Heading1"/>
      </w:pPr>
      <w:r>
        <w:t>Escalation</w:t>
      </w:r>
    </w:p>
    <w:p>
      <w:r>
        <w:t>Evidence artifacts are retained in Zoom for at least 24 months. Escalations should follow the on-call rotation with a response target of 60 minutes.</w:t>
      </w:r>
    </w:p>
    <w:p>
      <w:r>
        <w:t>Evidence artifacts are retained in Zoom for at least 24 months. The Security organization uses Azure AD to enforce consistent service baselines. All incidents are tagged with severity and mapped to service tiers. Systems are monitored via Azure AD and alert routing in Zoom.</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Stakeholders include the Release Manager,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