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APAC v1.0</w:t>
      </w:r>
    </w:p>
    <w:p>
      <w:r>
        <w:t>Department: Cloud Infrastructure</w:t>
      </w:r>
    </w:p>
    <w:p>
      <w:r>
        <w:t>Author: Taylor Kim</w:t>
      </w:r>
    </w:p>
    <w:p>
      <w:r>
        <w:t>Created date: 2026-05-20</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This document aligns with GDPR requirements and supports APAC data residency expectations. Teams must log requests in SAP and track outcomes in Payment Processing Service for audit readiness. Teams must log requests in SAP and track outcomes in Payment Processing Service for audit readiness. The process integrates with Payment Processing Service and depends on PostgreSQL for telemetry signals.</w:t>
      </w:r>
    </w:p>
    <w:p>
      <w:r>
        <w:t>Regional teams in APAC follow the same policy with localized legal review. Risk acceptance must be documented and revalidated each quarter. The Cloud Infrastructure organization uses PostgreSQL to enforce consistent service baselines. All changes require peer review and validation in the Payment Processing Service before production promotion.</w:t>
      </w:r>
    </w:p>
    <w:p>
      <w:pPr>
        <w:pStyle w:val="ListBullet"/>
      </w:pPr>
      <w:r>
        <w:t>We prioritize customer impact, data integrity, and regulatory alignment.</w:t>
      </w:r>
    </w:p>
    <w:p>
      <w:pPr>
        <w:pStyle w:val="ListBullet"/>
      </w:pPr>
      <w:r>
        <w:t>Evidence artifacts are retained in SAP for at least 18 months.</w:t>
      </w:r>
    </w:p>
    <w:p>
      <w:pPr>
        <w:pStyle w:val="ListBullet"/>
      </w:pPr>
      <w:r>
        <w:t>All incidents are tagged with severity and mapped to service tiers.</w:t>
      </w:r>
    </w:p>
    <w:p>
      <w:pPr>
        <w:pStyle w:val="ListBullet"/>
      </w:pPr>
      <w:r>
        <w:t>Systems are monitored via PostgreSQL and alert routing in SAP.</w:t>
      </w:r>
    </w:p>
    <w:p>
      <w:pPr>
        <w:pStyle w:val="ListBullet"/>
      </w:pPr>
      <w:r>
        <w:t>Systems are monitored via PostgreSQL and alert routing in SAP.</w:t>
      </w:r>
    </w:p>
    <w:p>
      <w:pPr>
        <w:pStyle w:val="Heading1"/>
      </w:pPr>
      <w:r>
        <w:t>Approval Workflow</w:t>
      </w:r>
    </w:p>
    <w:p>
      <w:r>
        <w:t>All changes require peer review and validation in the Payment Processing Service before production promotion. All changes require peer review and validation in the Payment Processing Service before production promotion.</w:t>
      </w:r>
    </w:p>
    <w:p>
      <w:pPr>
        <w:pStyle w:val="ListBullet"/>
      </w:pPr>
      <w:r>
        <w:t>The Cloud Infrastructure team coordinates with Platform Engineer to maintain operational readiness.</w:t>
      </w:r>
    </w:p>
    <w:p>
      <w:pPr>
        <w:pStyle w:val="ListBullet"/>
      </w:pPr>
      <w:r>
        <w:t>The Cloud Infrastructure team coordinates with Platform Engineer to maintain operational readiness.</w:t>
      </w:r>
    </w:p>
    <w:p>
      <w:pPr>
        <w:pStyle w:val="ListBullet"/>
      </w:pPr>
      <w:r>
        <w:t>Teams must log requests in SAP and track outcomes in Payment Processing Service for audit readiness.</w:t>
      </w:r>
    </w:p>
    <w:p>
      <w:pPr>
        <w:pStyle w:val="ListBullet"/>
      </w:pPr>
      <w:r>
        <w:t>Risk acceptance must be documented and revalidated each quarter.</w:t>
      </w:r>
    </w:p>
    <w:p>
      <w:pPr>
        <w:pStyle w:val="ListBullet"/>
      </w:pPr>
      <w:r>
        <w:t>Evidence artifacts are retained in SAP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Cloud Infrastructure</w:t>
            </w:r>
          </w:p>
        </w:tc>
        <w:tc>
          <w:tcPr>
            <w:tcW w:type="dxa" w:w="2880"/>
          </w:tcPr>
          <w:p>
            <w:r>
              <w:t>In Progress</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Platform Engineer</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Complete</w:t>
            </w:r>
          </w:p>
        </w:tc>
      </w:tr>
    </w:tbl>
    <w:p>
      <w:pPr>
        <w:pStyle w:val="Heading1"/>
      </w:pPr>
      <w:r>
        <w:t>Budget Controls</w:t>
      </w:r>
    </w:p>
    <w:p>
      <w:r>
        <w:t>Teams must log requests in SAP and track outcomes in Payment Processing Service for audit readiness. Audit sampling occurs monthly and is summarized in leadership dashboards.</w:t>
      </w:r>
    </w:p>
    <w:p>
      <w:pPr>
        <w:pStyle w:val="ListBullet"/>
      </w:pPr>
      <w:r>
        <w:t>The Cloud Infrastructure team coordinates with Platform Engineer to maintain operational readiness.</w:t>
      </w:r>
    </w:p>
    <w:p>
      <w:pPr>
        <w:pStyle w:val="ListBullet"/>
      </w:pPr>
      <w:r>
        <w:t>The Cloud Infrastructure organization uses PostgreSQL to enforce consistent service baselines.</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ListBullet"/>
      </w:pPr>
      <w:r>
        <w:t>Risk acceptance must be documented and revalidated each quarter.</w:t>
      </w:r>
    </w:p>
    <w:p>
      <w:pPr>
        <w:pStyle w:val="Heading1"/>
      </w:pPr>
      <w:r>
        <w:t>Reporting</w:t>
      </w:r>
    </w:p>
    <w:p>
      <w:r>
        <w:t>Evidence artifacts are retained in SAP for at least 18 months. The Cloud Infrastructure team coordinates with Platform Engineer to maintain operational readiness. The Cloud Infrastructure organization uses PostgreSQL to enforce consistent service baselines. The Cloud Infrastructure organization uses PostgreSQL to enforce consistent service baselines.</w:t>
      </w:r>
    </w:p>
    <w:p>
      <w:pPr>
        <w:pStyle w:val="ListBullet"/>
      </w:pPr>
      <w:r>
        <w:t>We prioritize customer impact, data integrity, and regulatory alignment.</w:t>
      </w:r>
    </w:p>
    <w:p>
      <w:pPr>
        <w:pStyle w:val="ListBullet"/>
      </w:pPr>
      <w:r>
        <w:t>Regional teams in APAC follow the same policy with localized legal review.</w:t>
      </w:r>
    </w:p>
    <w:p>
      <w:pPr>
        <w:pStyle w:val="ListBullet"/>
      </w:pPr>
      <w:r>
        <w:t>Escalations should follow the on-call rotation with a response target of 30 minutes.</w:t>
      </w:r>
    </w:p>
    <w:p>
      <w:pPr>
        <w:pStyle w:val="Heading1"/>
      </w:pPr>
      <w:r>
        <w:t>Audit Trail</w:t>
      </w:r>
    </w:p>
    <w:p>
      <w:r>
        <w:t>Audit sampling occurs monthly and is summarized in leadership dashboards. Regional teams in APAC follow the same policy with localized legal review. The process integrates with Payment Processing Service and depends on PostgreSQL for telemetry signals. The Cloud Infrastructure team coordinates with Platform Engineer to maintain operational readiness.</w:t>
      </w:r>
    </w:p>
    <w:p>
      <w:r>
        <w:t>Risk acceptance must be documented and revalidated each quarter. The Cloud Infrastructure organization uses PostgreSQL to enforce consistent service baselines. Systems are monitored via PostgreSQL and alert routing in SAP.</w:t>
      </w:r>
    </w:p>
    <w:p>
      <w:pPr>
        <w:pStyle w:val="ListBullet"/>
      </w:pPr>
      <w:r>
        <w:t>Stakeholders include the Platform Engineer, service owner, and compliance lead for approvals.</w:t>
      </w:r>
    </w:p>
    <w:p>
      <w:pPr>
        <w:pStyle w:val="ListBullet"/>
      </w:pPr>
      <w:r>
        <w:t>This document aligns with GDPR requirements and supports APAC data residency expectations.</w:t>
      </w:r>
    </w:p>
    <w:p>
      <w:pPr>
        <w:pStyle w:val="ListBullet"/>
      </w:pPr>
      <w:r>
        <w:t>The Cloud Infrastructure organization uses PostgreSQL to enforce consistent service baselines.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Complete</w:t>
            </w:r>
          </w:p>
        </w:tc>
      </w:tr>
      <w:tr>
        <w:tc>
          <w:tcPr>
            <w:tcW w:type="dxa" w:w="2880"/>
          </w:tcPr>
          <w:p>
            <w:r>
              <w:t>Backup validation</w:t>
            </w:r>
          </w:p>
        </w:tc>
        <w:tc>
          <w:tcPr>
            <w:tcW w:type="dxa" w:w="2880"/>
          </w:tcPr>
          <w:p>
            <w:r>
              <w:t>Platform Engineer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