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Cloud Infrastructure EU v1.0</w:t>
      </w:r>
    </w:p>
    <w:p>
      <w:r>
        <w:t>Department: Cloud Infrastructure</w:t>
      </w:r>
    </w:p>
    <w:p>
      <w:r>
        <w:t>Author: Taylor Brown</w:t>
      </w:r>
    </w:p>
    <w:p>
      <w:r>
        <w:t>Created date: 2025-10-07</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Systems are monitored via Vault and alert routing in Jira. Systems are monitored via Vault and alert routing in Jira. We prioritize customer impact, data integrity, and regulatory alignment.</w:t>
      </w:r>
    </w:p>
    <w:p>
      <w:r>
        <w:t>All incidents are tagged with severity and mapped to service tiers. Escalations should follow the on-call rotation with a response target of 45 minutes.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Risk acceptance must be documented and revalidated each quarter.</w:t>
      </w:r>
    </w:p>
    <w:p>
      <w:pPr>
        <w:pStyle w:val="ListBullet"/>
      </w:pPr>
      <w:r>
        <w:t>This document aligns with ISO 27001 requirements and supports EU data residency expectations.</w:t>
      </w:r>
    </w:p>
    <w:p>
      <w:pPr>
        <w:pStyle w:val="ListBullet"/>
      </w:pPr>
      <w:r>
        <w:t>Evidence artifacts are retained in Jira for at least 12 months.</w:t>
      </w:r>
    </w:p>
    <w:p>
      <w:pPr>
        <w:pStyle w:val="ListBullet"/>
      </w:pPr>
      <w:r>
        <w:t>This document aligns with ISO 27001 requirements and supports EU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Backup validation</w:t>
            </w:r>
          </w:p>
        </w:tc>
        <w:tc>
          <w:tcPr>
            <w:tcW w:type="dxa" w:w="2880"/>
          </w:tcPr>
          <w:p>
            <w:r>
              <w:t>Cloud Infrastructure</w:t>
            </w:r>
          </w:p>
        </w:tc>
        <w:tc>
          <w:tcPr>
            <w:tcW w:type="dxa" w:w="2880"/>
          </w:tcPr>
          <w:p>
            <w:r>
              <w:t>Complete</w:t>
            </w:r>
          </w:p>
        </w:tc>
      </w:tr>
      <w:tr>
        <w:tc>
          <w:tcPr>
            <w:tcW w:type="dxa" w:w="2880"/>
          </w:tcPr>
          <w:p>
            <w:r>
              <w:t>Access review</w:t>
            </w:r>
          </w:p>
        </w:tc>
        <w:tc>
          <w:tcPr>
            <w:tcW w:type="dxa" w:w="2880"/>
          </w:tcPr>
          <w:p>
            <w:r>
              <w:t>Security</w:t>
            </w:r>
          </w:p>
        </w:tc>
        <w:tc>
          <w:tcPr>
            <w:tcW w:type="dxa" w:w="2880"/>
          </w:tcPr>
          <w:p>
            <w:r>
              <w:t>Blocked</w:t>
            </w:r>
          </w:p>
        </w:tc>
      </w:tr>
    </w:tbl>
    <w:p>
      <w:pPr>
        <w:pStyle w:val="Heading1"/>
      </w:pPr>
      <w:r>
        <w:t>Approval Workflow</w:t>
      </w:r>
    </w:p>
    <w:p>
      <w:r>
        <w:t>Stakeholders include the Finance Analyst, service owner, and compliance lead for approvals. The Cloud Infrastructure organization uses Vault to enforce consistent service baselines.</w:t>
      </w:r>
    </w:p>
    <w:p>
      <w:r>
        <w:t>Evidence artifacts are retained in Jira for at least 12 months. All changes require peer review and validation in the ERP System before production promotion. The Cloud Infrastructure organization uses Vault to enforce consistent service baselines.</w:t>
      </w:r>
    </w:p>
    <w:p>
      <w:pPr>
        <w:pStyle w:val="ListBullet"/>
      </w:pPr>
      <w:r>
        <w:t>Teams must log requests in Jira and track outcomes in ERP System for audit readiness.</w:t>
      </w:r>
    </w:p>
    <w:p>
      <w:pPr>
        <w:pStyle w:val="ListBullet"/>
      </w:pPr>
      <w:r>
        <w:t>Risk acceptance must be documented and revalidated each quarter.</w:t>
      </w:r>
    </w:p>
    <w:p>
      <w:pPr>
        <w:pStyle w:val="ListBullet"/>
      </w:pPr>
      <w:r>
        <w:t>Regional teams in EU follow the same policy with localized legal review.</w:t>
      </w:r>
    </w:p>
    <w:p>
      <w:pPr>
        <w:pStyle w:val="ListBullet"/>
      </w:pPr>
      <w:r>
        <w:t>Risk acceptance must be documented and revalidated each quarter.</w:t>
      </w:r>
    </w:p>
    <w:p>
      <w:pPr>
        <w:pStyle w:val="ListBullet"/>
      </w:pPr>
      <w:r>
        <w:t>All changes require peer review and validation in the ERP System before production promotion.</w:t>
      </w:r>
    </w:p>
    <w:p>
      <w:pPr>
        <w:pStyle w:val="ListBullet"/>
      </w:pPr>
      <w:r>
        <w:t>Escalations should follow the on-call rotation with a response target of 45 minutes.</w:t>
      </w:r>
    </w:p>
    <w:p>
      <w:pPr>
        <w:pStyle w:val="Heading1"/>
      </w:pPr>
      <w:r>
        <w:t>Budget Controls</w:t>
      </w:r>
    </w:p>
    <w:p>
      <w:r>
        <w:t>Regional teams in EU follow the same policy with localized legal review. Risk acceptance must be documented and revalidated each quarter. Evidence artifacts are retained in Jira for at least 12 months.</w:t>
      </w:r>
    </w:p>
    <w:p>
      <w:r>
        <w:t>Risk acceptance must be documented and revalidated each quarter. Teams must log requests in Jira and track outcomes in ERP System for audit readiness. The process integrates with ERP System and depends on Vault for telemetry signals. The process integrates with ERP System and depends on Vault for telemetry signals.</w:t>
      </w:r>
    </w:p>
    <w:p>
      <w:pPr>
        <w:pStyle w:val="ListBullet"/>
      </w:pPr>
      <w:r>
        <w:t>Escalations should follow the on-call rotation with a response target of 45 minutes.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Cloud Infrastructure</w:t>
            </w:r>
          </w:p>
        </w:tc>
        <w:tc>
          <w:tcPr>
            <w:tcW w:type="dxa" w:w="2880"/>
          </w:tcPr>
          <w:p>
            <w:r>
              <w:t>Complete</w:t>
            </w:r>
          </w:p>
        </w:tc>
      </w:tr>
      <w:tr>
        <w:tc>
          <w:tcPr>
            <w:tcW w:type="dxa" w:w="2880"/>
          </w:tcPr>
          <w:p>
            <w:r>
              <w:t>Patch window</w:t>
            </w:r>
          </w:p>
        </w:tc>
        <w:tc>
          <w:tcPr>
            <w:tcW w:type="dxa" w:w="2880"/>
          </w:tcPr>
          <w:p>
            <w:r>
              <w:t>Finance Analyst</w:t>
            </w:r>
          </w:p>
        </w:tc>
        <w:tc>
          <w:tcPr>
            <w:tcW w:type="dxa" w:w="2880"/>
          </w:tcPr>
          <w:p>
            <w:r>
              <w:t>Complete</w:t>
            </w:r>
          </w:p>
        </w:tc>
      </w:tr>
      <w:tr>
        <w:tc>
          <w:tcPr>
            <w:tcW w:type="dxa" w:w="2880"/>
          </w:tcPr>
          <w:p>
            <w:r>
              <w:t>Incident drill</w:t>
            </w:r>
          </w:p>
        </w:tc>
        <w:tc>
          <w:tcPr>
            <w:tcW w:type="dxa" w:w="2880"/>
          </w:tcPr>
          <w:p>
            <w:r>
              <w:t>Operations</w:t>
            </w:r>
          </w:p>
        </w:tc>
        <w:tc>
          <w:tcPr>
            <w:tcW w:type="dxa" w:w="2880"/>
          </w:tcPr>
          <w:p>
            <w:r>
              <w:t>Blocked</w:t>
            </w:r>
          </w:p>
        </w:tc>
      </w:tr>
      <w:tr>
        <w:tc>
          <w:tcPr>
            <w:tcW w:type="dxa" w:w="2880"/>
          </w:tcPr>
          <w:p>
            <w:r>
              <w:t>Incident drill</w:t>
            </w:r>
          </w:p>
        </w:tc>
        <w:tc>
          <w:tcPr>
            <w:tcW w:type="dxa" w:w="2880"/>
          </w:tcPr>
          <w:p>
            <w:r>
              <w:t>Security</w:t>
            </w:r>
          </w:p>
        </w:tc>
        <w:tc>
          <w:tcPr>
            <w:tcW w:type="dxa" w:w="2880"/>
          </w:tcPr>
          <w:p>
            <w:r>
              <w:t>In Progress</w:t>
            </w:r>
          </w:p>
        </w:tc>
      </w:tr>
    </w:tbl>
    <w:p>
      <w:pPr>
        <w:pStyle w:val="Heading1"/>
      </w:pPr>
      <w:r>
        <w:t>Reporting</w:t>
      </w:r>
    </w:p>
    <w:p>
      <w:r>
        <w:t>Regional teams in EU follow the same policy with localized legal review. Evidence artifacts are retained in Jira for at least 12 months.</w:t>
      </w:r>
    </w:p>
    <w:p>
      <w:r>
        <w:t>Audit sampling occurs monthly and is summarized in leadership dashboards. Escalations should follow the on-call rotation with a response target of 45 minutes. Evidence artifacts are retained in Jira for at least 12 months.</w:t>
      </w:r>
    </w:p>
    <w:p>
      <w:pPr>
        <w:pStyle w:val="ListBullet"/>
      </w:pPr>
      <w:r>
        <w:t>Teams must log requests in Jira and track outcomes in ERP System for audit readiness.</w:t>
      </w:r>
    </w:p>
    <w:p>
      <w:pPr>
        <w:pStyle w:val="ListBullet"/>
      </w:pPr>
      <w:r>
        <w:t>The Cloud Infrastructure team coordinates with Finance Analyst to maintain operational readiness.</w:t>
      </w:r>
    </w:p>
    <w:p>
      <w:pPr>
        <w:pStyle w:val="ListBullet"/>
      </w:pPr>
      <w:r>
        <w:t>The Cloud Infrastructure organization uses Vault to enforce consistent service baselines.</w:t>
      </w:r>
    </w:p>
    <w:p>
      <w:pPr>
        <w:pStyle w:val="ListBullet"/>
      </w:pPr>
      <w:r>
        <w:t>Teams must log requests in Jira and track outcomes in ERP System for audit readiness.</w:t>
      </w:r>
    </w:p>
    <w:p>
      <w:pPr>
        <w:pStyle w:val="ListBullet"/>
      </w:pPr>
      <w:r>
        <w:t>Evidence artifacts are retained in Jira for at least 12 months.</w:t>
      </w:r>
    </w:p>
    <w:p>
      <w:pPr>
        <w:pStyle w:val="ListBullet"/>
      </w:pPr>
      <w:r>
        <w:t>The Cloud Infrastructure organization uses Vault to enforce consistent service baselines.</w:t>
      </w:r>
    </w:p>
    <w:p>
      <w:pPr>
        <w:pStyle w:val="Heading1"/>
      </w:pPr>
      <w:r>
        <w:t>Audit Trail</w:t>
      </w:r>
    </w:p>
    <w:p>
      <w:r>
        <w:t>We prioritize customer impact, data integrity, and regulatory alignment. All incidents are tagged with severity and mapped to service tiers.</w:t>
      </w:r>
    </w:p>
    <w:p>
      <w:r>
        <w:t>Stakeholders include the Finance Analyst, service owner, and compliance lead for approvals. Stakeholders include the Finance Analyst, service owner, and compliance lead for approvals. Risk acceptance must be documented and revalidated each quarter. Risk acceptance must be documented and revalidated each quarter.</w:t>
      </w:r>
    </w:p>
    <w:p>
      <w:pPr>
        <w:pStyle w:val="ListBullet"/>
      </w:pPr>
      <w:r>
        <w:t>This document aligns with ISO 27001 requirements and supports EU data residency expectations.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The process integrates with ERP System and depends on Vault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