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Cloud Infrastructure US v2.1</w:t>
      </w:r>
    </w:p>
    <w:p>
      <w:r>
        <w:t>Department: Cloud Infrastructure</w:t>
      </w:r>
    </w:p>
    <w:p>
      <w:r>
        <w:t>Author: Taylor Kim</w:t>
      </w:r>
    </w:p>
    <w:p>
      <w:r>
        <w:t>Created date: 2025-11-13</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All incidents are tagged with severity and mapped to service tiers. Escalations should follow the on-call rotation with a response target of 45 minutes.</w:t>
      </w:r>
    </w:p>
    <w:p>
      <w:r>
        <w:t>The process integrates with Monitoring Stack and depends on PostgreSQL for telemetry signals. Stakeholders include the HR Business Partner, service owner, and compliance lead for approvals.</w:t>
      </w:r>
    </w:p>
    <w:p>
      <w:pPr>
        <w:pStyle w:val="ListBullet"/>
      </w:pPr>
      <w:r>
        <w:t>The process integrates with Monitoring Stack and depends on PostgreSQL for telemetry signals.</w:t>
      </w:r>
    </w:p>
    <w:p>
      <w:pPr>
        <w:pStyle w:val="ListBullet"/>
      </w:pPr>
      <w:r>
        <w:t>Teams must log requests in Jira and track outcomes in Monitoring Stack for audit readiness.</w:t>
      </w:r>
    </w:p>
    <w:p>
      <w:pPr>
        <w:pStyle w:val="ListBullet"/>
      </w:pPr>
      <w:r>
        <w:t>Systems are monitored via PostgreSQL and alert routing in Jira.</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HR Business Partner</w:t>
            </w:r>
          </w:p>
        </w:tc>
        <w:tc>
          <w:tcPr>
            <w:tcW w:type="dxa" w:w="2880"/>
          </w:tcPr>
          <w:p>
            <w:r>
              <w:t>Complete</w:t>
            </w:r>
          </w:p>
        </w:tc>
      </w:tr>
      <w:tr>
        <w:tc>
          <w:tcPr>
            <w:tcW w:type="dxa" w:w="2880"/>
          </w:tcPr>
          <w:p>
            <w:r>
              <w:t>Vendor check</w:t>
            </w:r>
          </w:p>
        </w:tc>
        <w:tc>
          <w:tcPr>
            <w:tcW w:type="dxa" w:w="2880"/>
          </w:tcPr>
          <w:p>
            <w:r>
              <w:t>Operations</w:t>
            </w:r>
          </w:p>
        </w:tc>
        <w:tc>
          <w:tcPr>
            <w:tcW w:type="dxa" w:w="2880"/>
          </w:tcPr>
          <w:p>
            <w:r>
              <w:t>Blocked</w:t>
            </w:r>
          </w:p>
        </w:tc>
      </w:tr>
      <w:tr>
        <w:tc>
          <w:tcPr>
            <w:tcW w:type="dxa" w:w="2880"/>
          </w:tcPr>
          <w:p>
            <w:r>
              <w:t>Vendor check</w:t>
            </w:r>
          </w:p>
        </w:tc>
        <w:tc>
          <w:tcPr>
            <w:tcW w:type="dxa" w:w="2880"/>
          </w:tcPr>
          <w:p>
            <w:r>
              <w:t>Security</w:t>
            </w:r>
          </w:p>
        </w:tc>
        <w:tc>
          <w:tcPr>
            <w:tcW w:type="dxa" w:w="2880"/>
          </w:tcPr>
          <w:p>
            <w:r>
              <w:t>Blocked</w:t>
            </w:r>
          </w:p>
        </w:tc>
      </w:tr>
    </w:tbl>
    <w:p>
      <w:pPr>
        <w:pStyle w:val="Heading1"/>
      </w:pPr>
      <w:r>
        <w:t>Approval Workflow</w:t>
      </w:r>
    </w:p>
    <w:p>
      <w:r>
        <w:t>Risk acceptance must be documented and revalidated each quarter. Escalations should follow the on-call rotation with a response target of 45 minutes. Systems are monitored via PostgreSQL and alert routing in Jira. Stakeholders include the HR Business Partner, service owner, and compliance lead for approvals.</w:t>
      </w:r>
    </w:p>
    <w:p>
      <w:pPr>
        <w:pStyle w:val="ListBullet"/>
      </w:pPr>
      <w:r>
        <w:t>Stakeholders include the HR Business Partner, service owner, and compliance lead for approvals.</w:t>
      </w:r>
    </w:p>
    <w:p>
      <w:pPr>
        <w:pStyle w:val="ListBullet"/>
      </w:pPr>
      <w:r>
        <w:t>Stakeholders include the HR Business Partner, service owner, and compliance lead for approvals.</w:t>
      </w:r>
    </w:p>
    <w:p>
      <w:pPr>
        <w:pStyle w:val="ListBullet"/>
      </w:pPr>
      <w:r>
        <w:t>Evidence artifacts are retained in Jira for at least 18 months.</w:t>
      </w:r>
    </w:p>
    <w:p>
      <w:pPr>
        <w:pStyle w:val="ListBullet"/>
      </w:pPr>
      <w:r>
        <w:t>Audit sampling occurs monthly and is summarized in leadership dashboards.</w:t>
      </w:r>
    </w:p>
    <w:p>
      <w:pPr>
        <w:pStyle w:val="ListBullet"/>
      </w:pPr>
      <w:r>
        <w:t>All changes require peer review and validation in the Monitoring Stack before production promotion.</w:t>
      </w:r>
    </w:p>
    <w:p>
      <w:pPr>
        <w:pStyle w:val="ListBullet"/>
      </w:pPr>
      <w:r>
        <w:t>All changes require peer review and validation in the Monitoring Stack before production promotion.</w:t>
      </w:r>
    </w:p>
    <w:p>
      <w:pPr>
        <w:pStyle w:val="Heading1"/>
      </w:pPr>
      <w:r>
        <w:t>Budget Controls</w:t>
      </w:r>
    </w:p>
    <w:p>
      <w:r>
        <w:t>Audit sampling occurs monthly and is summarized in leadership dashboards. The process integrates with Monitoring Stack and depends on PostgreSQL for telemetry signals.</w:t>
      </w:r>
    </w:p>
    <w:p>
      <w:r>
        <w:t>This document aligns with GDPR requirements and supports US data residency expectations. Audit sampling occurs monthly and is summarized in leadership dashboards. Teams must log requests in Jira and track outcomes in Monitoring Stack for audit readiness. Audit sampling occurs monthly and is summarized in leadership dashboards.</w:t>
      </w:r>
    </w:p>
    <w:p>
      <w:pPr>
        <w:pStyle w:val="ListBullet"/>
      </w:pPr>
      <w:r>
        <w:t>Teams must log requests in Jira and track outcomes in Monitoring Stack for audit readiness.</w:t>
      </w:r>
    </w:p>
    <w:p>
      <w:pPr>
        <w:pStyle w:val="ListBullet"/>
      </w:pPr>
      <w:r>
        <w:t>We prioritize customer impact, data integrity, and regulatory alignment.</w:t>
      </w:r>
    </w:p>
    <w:p>
      <w:pPr>
        <w:pStyle w:val="ListBullet"/>
      </w:pPr>
      <w:r>
        <w:t>Teams must log requests in Jira and track outcomes in Monitoring Stack for audit readiness.</w:t>
      </w:r>
    </w:p>
    <w:p>
      <w:pPr>
        <w:pStyle w:val="ListBullet"/>
      </w:pPr>
      <w:r>
        <w:t>Evidence artifacts are retained in Jira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HR Business Partner</w:t>
            </w:r>
          </w:p>
        </w:tc>
        <w:tc>
          <w:tcPr>
            <w:tcW w:type="dxa" w:w="2880"/>
          </w:tcPr>
          <w:p>
            <w:r>
              <w:t>Blocked</w:t>
            </w:r>
          </w:p>
        </w:tc>
      </w:tr>
      <w:tr>
        <w:tc>
          <w:tcPr>
            <w:tcW w:type="dxa" w:w="2880"/>
          </w:tcPr>
          <w:p>
            <w:r>
              <w:t>Access review</w:t>
            </w:r>
          </w:p>
        </w:tc>
        <w:tc>
          <w:tcPr>
            <w:tcW w:type="dxa" w:w="2880"/>
          </w:tcPr>
          <w:p>
            <w:r>
              <w:t>Security</w:t>
            </w:r>
          </w:p>
        </w:tc>
        <w:tc>
          <w:tcPr>
            <w:tcW w:type="dxa" w:w="2880"/>
          </w:tcPr>
          <w:p>
            <w:r>
              <w:t>Planned</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Patch window</w:t>
            </w:r>
          </w:p>
        </w:tc>
        <w:tc>
          <w:tcPr>
            <w:tcW w:type="dxa" w:w="2880"/>
          </w:tcPr>
          <w:p>
            <w:r>
              <w:t>Cloud Infrastructure</w:t>
            </w:r>
          </w:p>
        </w:tc>
        <w:tc>
          <w:tcPr>
            <w:tcW w:type="dxa" w:w="2880"/>
          </w:tcPr>
          <w:p>
            <w:r>
              <w:t>In Progress</w:t>
            </w:r>
          </w:p>
        </w:tc>
      </w:tr>
    </w:tbl>
    <w:p>
      <w:pPr>
        <w:pStyle w:val="Heading1"/>
      </w:pPr>
      <w:r>
        <w:t>Reporting</w:t>
      </w:r>
    </w:p>
    <w:p>
      <w:r>
        <w:t>Risk acceptance must be documented and revalidated each quarter. All changes require peer review and validation in the Monitoring Stack before production promotion. Risk acceptance must be documented and revalidated each quarter.</w:t>
      </w:r>
    </w:p>
    <w:p>
      <w:r>
        <w:t>Escalations should follow the on-call rotation with a response target of 45 minutes. The Cloud Infrastructure team coordinates with HR Business Partner to maintain operational readiness. This document aligns with GDPR requirements and supports US data residency expectations.</w:t>
      </w:r>
    </w:p>
    <w:p>
      <w:pPr>
        <w:pStyle w:val="ListBullet"/>
      </w:pPr>
      <w:r>
        <w:t>The Cloud Infrastructure organization uses PostgreSQL to enforce consistent service baselines.</w:t>
      </w:r>
    </w:p>
    <w:p>
      <w:pPr>
        <w:pStyle w:val="ListBullet"/>
      </w:pPr>
      <w:r>
        <w:t>This document aligns with GDPR requirements and supports US data residency expectations.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Heading1"/>
      </w:pPr>
      <w:r>
        <w:t>Audit Trail</w:t>
      </w:r>
    </w:p>
    <w:p>
      <w:r>
        <w:t>The Cloud Infrastructure team coordinates with HR Business Partner to maintain operational readiness. We prioritize customer impact, data integrity, and regulatory alignment.</w:t>
      </w:r>
    </w:p>
    <w:p>
      <w:pPr>
        <w:pStyle w:val="ListBullet"/>
      </w:pPr>
      <w:r>
        <w:t>Teams must log requests in Jira and track outcomes in Monitoring Stack for audit readiness.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All incidents are tagged with severity and mapped to service tiers.</w:t>
      </w:r>
    </w:p>
    <w:p>
      <w:pPr>
        <w:pStyle w:val="ListBullet"/>
      </w:pPr>
      <w:r>
        <w:t>The Cloud Infrastructure organization uses PostgreSQL to enforce consistent service baselines.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