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Cloud Infrastructure US v2.1</w:t>
      </w:r>
    </w:p>
    <w:p>
      <w:r>
        <w:t>Department: Cloud Infrastructure</w:t>
      </w:r>
    </w:p>
    <w:p>
      <w:r>
        <w:t>Author: Alex Nguyen</w:t>
      </w:r>
    </w:p>
    <w:p>
      <w:r>
        <w:t>Created date: 2023-12-23</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This document aligns with PCI DSS requirements and supports US data residency expectations. Systems are monitored via Okta and alert routing in Microsoft 365.</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The Cloud Infrastructure organization uses Okta to enforce consistent service baselines.</w:t>
      </w:r>
    </w:p>
    <w:p>
      <w:pPr>
        <w:pStyle w:val="ListBullet"/>
      </w:pPr>
      <w:r>
        <w:t>The Cloud Infrastructure organization uses Okta to enforce consistent service baselines.</w:t>
      </w:r>
    </w:p>
    <w:p>
      <w:pPr>
        <w:pStyle w:val="ListBullet"/>
      </w:pPr>
      <w:r>
        <w:t>Teams must log requests in Microsoft 365 and track outcomes in Customer Data Lake for audit readiness.</w:t>
      </w:r>
    </w:p>
    <w:p>
      <w:pPr>
        <w:pStyle w:val="Heading1"/>
      </w:pPr>
      <w:r>
        <w:t>Approval Workflow</w:t>
      </w:r>
    </w:p>
    <w:p>
      <w:r>
        <w:t>The process integrates with Customer Data Lake and depends on Okta for telemetry signals. This document aligns with PCI DSS requirements and supports US data residency expectations. Risk acceptance must be documented and revalidated each quarter. All changes require peer review and validation in the Customer Data Lake before production promotion.</w:t>
      </w:r>
    </w:p>
    <w:p>
      <w:r>
        <w:t>The process integrates with Customer Data Lake and depends on Okta for telemetry signals. Risk acceptance must be documented and revalidated each quarter. Risk acceptance must be documented and revalidated each quarter.</w:t>
      </w:r>
    </w:p>
    <w:p>
      <w:pPr>
        <w:pStyle w:val="ListBullet"/>
      </w:pPr>
      <w:r>
        <w:t>Evidence artifacts are retained in Microsoft 365 for at least 18 months.</w:t>
      </w:r>
    </w:p>
    <w:p>
      <w:pPr>
        <w:pStyle w:val="ListBullet"/>
      </w:pPr>
      <w:r>
        <w:t>Teams must log requests in Microsoft 365 and track outcomes in Customer Data Lake for audit readiness.</w:t>
      </w:r>
    </w:p>
    <w:p>
      <w:pPr>
        <w:pStyle w:val="ListBullet"/>
      </w:pPr>
      <w:r>
        <w:t>Evidence artifacts are retained in Microsoft 365 for at least 18 months.</w:t>
      </w:r>
    </w:p>
    <w:p>
      <w:pPr>
        <w:pStyle w:val="ListBullet"/>
      </w:pPr>
      <w:r>
        <w:t>The Cloud Infrastructure team coordinates with Release Manager to maintain operational readiness.</w:t>
      </w:r>
    </w:p>
    <w:p>
      <w:pPr>
        <w:pStyle w:val="ListBullet"/>
      </w:pPr>
      <w:r>
        <w:t>Stakeholders include the Release Manager, service owner, and compliance lead for approvals.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Planned</w:t>
            </w:r>
          </w:p>
        </w:tc>
      </w:tr>
      <w:tr>
        <w:tc>
          <w:tcPr>
            <w:tcW w:type="dxa" w:w="2880"/>
          </w:tcPr>
          <w:p>
            <w:r>
              <w:t>Patch window</w:t>
            </w:r>
          </w:p>
        </w:tc>
        <w:tc>
          <w:tcPr>
            <w:tcW w:type="dxa" w:w="2880"/>
          </w:tcPr>
          <w:p>
            <w:r>
              <w:t>Release Manager</w:t>
            </w:r>
          </w:p>
        </w:tc>
        <w:tc>
          <w:tcPr>
            <w:tcW w:type="dxa" w:w="2880"/>
          </w:tcPr>
          <w:p>
            <w:r>
              <w:t>Blocked</w:t>
            </w:r>
          </w:p>
        </w:tc>
      </w:tr>
    </w:tbl>
    <w:p>
      <w:pPr>
        <w:pStyle w:val="Heading1"/>
      </w:pPr>
      <w:r>
        <w:t>Budget Controls</w:t>
      </w:r>
    </w:p>
    <w:p>
      <w:r>
        <w:t>Escalations should follow the on-call rotation with a response target of 30 minutes. The process integrates with Customer Data Lake and depends on Okta for telemetry signals. Risk acceptance must be documented and revalidated each quarter. Escalations should follow the on-call rotation with a response target of 30 minutes.</w:t>
      </w:r>
    </w:p>
    <w:p>
      <w:pPr>
        <w:pStyle w:val="ListBullet"/>
      </w:pPr>
      <w:r>
        <w:t>The process integrates with Customer Data Lake and depends on Okta for telemetry signals.</w:t>
      </w:r>
    </w:p>
    <w:p>
      <w:pPr>
        <w:pStyle w:val="ListBullet"/>
      </w:pPr>
      <w:r>
        <w:t>This document aligns with PCI DSS requirements and supports US data residency expectations.</w:t>
      </w:r>
    </w:p>
    <w:p>
      <w:pPr>
        <w:pStyle w:val="ListBullet"/>
      </w:pPr>
      <w:r>
        <w:t>Stakeholders include the Release Manager, service owner, and compliance lead for approvals.</w:t>
      </w:r>
    </w:p>
    <w:p>
      <w:pPr>
        <w:pStyle w:val="ListBullet"/>
      </w:pPr>
      <w:r>
        <w:t>Regional teams in US follow the same policy with localized legal review.</w:t>
      </w:r>
    </w:p>
    <w:p>
      <w:pPr>
        <w:pStyle w:val="ListBullet"/>
      </w:pPr>
      <w:r>
        <w:t>Systems are monitored via Okta and alert routing in Microsoft 365.</w:t>
      </w:r>
    </w:p>
    <w:p>
      <w:pPr>
        <w:pStyle w:val="Heading1"/>
      </w:pPr>
      <w:r>
        <w:t>Reporting</w:t>
      </w:r>
    </w:p>
    <w:p>
      <w:r>
        <w:t>Teams must log requests in Microsoft 365 and track outcomes in Customer Data Lake for audit readiness. Systems are monitored via Okta and alert routing in Microsoft 365.</w:t>
      </w:r>
    </w:p>
    <w:p>
      <w:r>
        <w:t>We prioritize customer impact, data integrity, and regulatory alignment. This document aligns with PCI DSS requirements and supports US data residency expectations. Evidence artifacts are retained in Microsoft 365 for at least 18 months. All incidents are tagged with severity and mapped to service tiers.</w:t>
      </w:r>
    </w:p>
    <w:p>
      <w:pPr>
        <w:pStyle w:val="ListBullet"/>
      </w:pPr>
      <w:r>
        <w:t>Systems are monitored via Okta and alert routing in Microsoft 365.</w:t>
      </w:r>
    </w:p>
    <w:p>
      <w:pPr>
        <w:pStyle w:val="ListBullet"/>
      </w:pPr>
      <w:r>
        <w:t>All incidents are tagged with severity and mapped to service tiers.</w:t>
      </w:r>
    </w:p>
    <w:p>
      <w:pPr>
        <w:pStyle w:val="ListBullet"/>
      </w:pPr>
      <w:r>
        <w:t>All changes require peer review and validation in the Customer Data Lake before production promotion.</w:t>
      </w:r>
    </w:p>
    <w:p>
      <w:pPr>
        <w:pStyle w:val="ListBullet"/>
      </w:pPr>
      <w:r>
        <w:t>The Cloud Infrastructure team coordinates with Release Manager to maintain operational readiness.</w:t>
      </w:r>
    </w:p>
    <w:p>
      <w:pPr>
        <w:pStyle w:val="ListBullet"/>
      </w:pPr>
      <w:r>
        <w:t>We prioritize customer impact, data integrity, and regulatory alignment.</w:t>
      </w:r>
    </w:p>
    <w:p>
      <w:pPr>
        <w:pStyle w:val="Heading1"/>
      </w:pPr>
      <w:r>
        <w:t>Audit Trail</w:t>
      </w:r>
    </w:p>
    <w:p>
      <w:r>
        <w:t>This document aligns with PCI DSS requirements and supports US data residency expectations. The Cloud Infrastructure team coordinates with Release Manager to maintain operational readiness.</w:t>
      </w:r>
    </w:p>
    <w:p>
      <w:pPr>
        <w:pStyle w:val="ListBullet"/>
      </w:pPr>
      <w:r>
        <w:t>Regional teams in US follow the same policy with localized legal review.</w:t>
      </w:r>
    </w:p>
    <w:p>
      <w:pPr>
        <w:pStyle w:val="ListBullet"/>
      </w:pPr>
      <w:r>
        <w:t>This document aligns with PCI DSS requirements and supports US data residency expectations.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Stakeholders include the Release Manager, service owner, and compliance lead for approvals.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Release Manager</w:t>
            </w:r>
          </w:p>
        </w:tc>
        <w:tc>
          <w:tcPr>
            <w:tcW w:type="dxa" w:w="2880"/>
          </w:tcPr>
          <w:p>
            <w:r>
              <w:t>Blocked</w:t>
            </w:r>
          </w:p>
        </w:tc>
      </w:tr>
      <w:tr>
        <w:tc>
          <w:tcPr>
            <w:tcW w:type="dxa" w:w="2880"/>
          </w:tcPr>
          <w:p>
            <w:r>
              <w:t>Incident drill</w:t>
            </w:r>
          </w:p>
        </w:tc>
        <w:tc>
          <w:tcPr>
            <w:tcW w:type="dxa" w:w="2880"/>
          </w:tcPr>
          <w:p>
            <w:r>
              <w:t>Security</w:t>
            </w:r>
          </w:p>
        </w:tc>
        <w:tc>
          <w:tcPr>
            <w:tcW w:type="dxa" w:w="2880"/>
          </w:tcPr>
          <w:p>
            <w:r>
              <w:t>Blocked</w:t>
            </w:r>
          </w:p>
        </w:tc>
      </w:tr>
      <w:tr>
        <w:tc>
          <w:tcPr>
            <w:tcW w:type="dxa" w:w="2880"/>
          </w:tcPr>
          <w:p>
            <w:r>
              <w:t>Access review</w:t>
            </w:r>
          </w:p>
        </w:tc>
        <w:tc>
          <w:tcPr>
            <w:tcW w:type="dxa" w:w="2880"/>
          </w:tcPr>
          <w:p>
            <w:r>
              <w:t>Cloud Infrastructure</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