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Compliance EU v3.0</w:t>
      </w:r>
    </w:p>
    <w:p>
      <w:r>
        <w:t>Department: Compliance</w:t>
      </w:r>
    </w:p>
    <w:p>
      <w:r>
        <w:t>Author: Avery Patel</w:t>
      </w:r>
    </w:p>
    <w:p>
      <w:r>
        <w:t>Created date: 2025-06-08</w:t>
      </w:r>
    </w:p>
    <w:p>
      <w:r>
        <w:t>Region: EU</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The Compliance organization uses GCP to enforce consistent service baselines. Risk acceptance must be documented and revalidated each quarter. The Compliance organization uses GCP to enforce consistent service baselines. Stakeholders include the Finance Analyst, service owner, and compliance lead for approvals.</w:t>
      </w:r>
    </w:p>
    <w:p>
      <w:r>
        <w:t>We prioritize customer impact, data integrity, and regulatory alignment. The Compliance team coordinates with Finance Analyst to maintain operational readiness. Evidence artifacts are retained in Slack for at least 36 months.</w:t>
      </w:r>
    </w:p>
    <w:p>
      <w:pPr>
        <w:pStyle w:val="ListBullet"/>
      </w:pPr>
      <w:r>
        <w:t>Evidence artifacts are retained in Slack for at least 36 months.</w:t>
      </w:r>
    </w:p>
    <w:p>
      <w:pPr>
        <w:pStyle w:val="ListBullet"/>
      </w:pPr>
      <w:r>
        <w:t>Regional teams in EU follow the same policy with localized legal review.</w:t>
      </w:r>
    </w:p>
    <w:p>
      <w:pPr>
        <w:pStyle w:val="ListBullet"/>
      </w:pPr>
      <w:r>
        <w:t>The Compliance organization uses GCP to enforce consistent service baselines.</w:t>
      </w:r>
    </w:p>
    <w:p>
      <w:pPr>
        <w:pStyle w:val="Heading1"/>
      </w:pPr>
      <w:r>
        <w:t>Approval Workflow</w:t>
      </w:r>
    </w:p>
    <w:p>
      <w:r>
        <w:t>All incidents are tagged with severity and mapped to service tiers. All incidents are tagged with severity and mapped to service tiers. Evidence artifacts are retained in Slack for at least 36 months. The Compliance team coordinates with Finance Analyst to maintain operational readiness.</w:t>
      </w:r>
    </w:p>
    <w:p>
      <w:pPr>
        <w:pStyle w:val="ListBullet"/>
      </w:pPr>
      <w:r>
        <w:t>All changes require peer review and validation in the Payment Processing Service before production promotion.</w:t>
      </w:r>
    </w:p>
    <w:p>
      <w:pPr>
        <w:pStyle w:val="ListBullet"/>
      </w:pPr>
      <w:r>
        <w:t>This document aligns with ISO 27001 requirements and supports EU data residency expectations.</w:t>
      </w:r>
    </w:p>
    <w:p>
      <w:pPr>
        <w:pStyle w:val="ListBullet"/>
      </w:pPr>
      <w:r>
        <w:t>Audit sampling occurs monthly and is summarized in leadership dashboards.</w:t>
      </w:r>
    </w:p>
    <w:p>
      <w:pPr>
        <w:pStyle w:val="ListBullet"/>
      </w:pPr>
      <w:r>
        <w:t>All incidents are tagged with severity and mapped to service tiers.</w:t>
      </w:r>
    </w:p>
    <w:p>
      <w:pPr>
        <w:pStyle w:val="ListBullet"/>
      </w:pPr>
      <w:r>
        <w:t>Escalations should follow the on-call rotation with a response target of 30 minutes.</w:t>
      </w:r>
    </w:p>
    <w:p>
      <w:pPr>
        <w:pStyle w:val="Heading1"/>
      </w:pPr>
      <w:r>
        <w:t>Budget Controls</w:t>
      </w:r>
    </w:p>
    <w:p>
      <w:r>
        <w:t>Regional teams in EU follow the same policy with localized legal review. Audit sampling occurs monthly and is summarized in leadership dashboards. Systems are monitored via GCP and alert routing in Slack.</w:t>
      </w:r>
    </w:p>
    <w:p>
      <w:r>
        <w:t>The Compliance organization uses GCP to enforce consistent service baselines. The Compliance team coordinates with Finance Analyst to maintain operational readiness. The process integrates with Payment Processing Service and depends on GCP for telemetry signals.</w:t>
      </w:r>
    </w:p>
    <w:p>
      <w:pPr>
        <w:pStyle w:val="ListBullet"/>
      </w:pPr>
      <w:r>
        <w:t>We prioritize customer impact, data integrity, and regulatory alignment.</w:t>
      </w:r>
    </w:p>
    <w:p>
      <w:pPr>
        <w:pStyle w:val="ListBullet"/>
      </w:pPr>
      <w:r>
        <w:t>All changes require peer review and validation in the Payment Processing Service before production promotion.</w:t>
      </w:r>
    </w:p>
    <w:p>
      <w:pPr>
        <w:pStyle w:val="ListBullet"/>
      </w:pPr>
      <w:r>
        <w:t>Audit sampling occurs monthly and is summarized in leadership dashboards.</w:t>
      </w:r>
    </w:p>
    <w:p>
      <w:pPr>
        <w:pStyle w:val="ListBullet"/>
      </w:pPr>
      <w:r>
        <w:t>Stakeholders include the Finance Analyst, service owner, and compliance lead for approvals.</w:t>
      </w:r>
    </w:p>
    <w:p>
      <w:pPr>
        <w:pStyle w:val="ListBullet"/>
      </w:pPr>
      <w:r>
        <w:t>This document aligns with ISO 27001 requirements and supports EU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In Progress</w:t>
            </w:r>
          </w:p>
        </w:tc>
      </w:tr>
      <w:tr>
        <w:tc>
          <w:tcPr>
            <w:tcW w:type="dxa" w:w="2880"/>
          </w:tcPr>
          <w:p>
            <w:r>
              <w:t>Backup validation</w:t>
            </w:r>
          </w:p>
        </w:tc>
        <w:tc>
          <w:tcPr>
            <w:tcW w:type="dxa" w:w="2880"/>
          </w:tcPr>
          <w:p>
            <w:r>
              <w:t>Compliance</w:t>
            </w:r>
          </w:p>
        </w:tc>
        <w:tc>
          <w:tcPr>
            <w:tcW w:type="dxa" w:w="2880"/>
          </w:tcPr>
          <w:p>
            <w:r>
              <w:t>Complete</w:t>
            </w:r>
          </w:p>
        </w:tc>
      </w:tr>
      <w:tr>
        <w:tc>
          <w:tcPr>
            <w:tcW w:type="dxa" w:w="2880"/>
          </w:tcPr>
          <w:p>
            <w:r>
              <w:t>Vendor check</w:t>
            </w:r>
          </w:p>
        </w:tc>
        <w:tc>
          <w:tcPr>
            <w:tcW w:type="dxa" w:w="2880"/>
          </w:tcPr>
          <w:p>
            <w:r>
              <w:t>Finance Analyst</w:t>
            </w:r>
          </w:p>
        </w:tc>
        <w:tc>
          <w:tcPr>
            <w:tcW w:type="dxa" w:w="2880"/>
          </w:tcPr>
          <w:p>
            <w:r>
              <w:t>In Progress</w:t>
            </w:r>
          </w:p>
        </w:tc>
      </w:tr>
    </w:tbl>
    <w:p>
      <w:pPr>
        <w:pStyle w:val="Heading1"/>
      </w:pPr>
      <w:r>
        <w:t>Reporting</w:t>
      </w:r>
    </w:p>
    <w:p>
      <w:r>
        <w:t>All incidents are tagged with severity and mapped to service tiers. Escalations should follow the on-call rotation with a response target of 30 minutes. The Compliance organization uses GCP to enforce consistent service baselines. Audit sampling occurs monthly and is summarized in leadership dashboards.</w:t>
      </w:r>
    </w:p>
    <w:p>
      <w:r>
        <w:t>Evidence artifacts are retained in Slack for at least 36 months. All incidents are tagged with severity and mapped to service tiers.</w:t>
      </w:r>
    </w:p>
    <w:p>
      <w:pPr>
        <w:pStyle w:val="ListBullet"/>
      </w:pPr>
      <w:r>
        <w:t>Teams must log requests in Slack and track outcomes in Payment Processing Service for audit readiness.</w:t>
      </w:r>
    </w:p>
    <w:p>
      <w:pPr>
        <w:pStyle w:val="ListBullet"/>
      </w:pPr>
      <w:r>
        <w:t>Stakeholders include the Finance Analyst, service owner, and compliance lead for approvals.</w:t>
      </w:r>
    </w:p>
    <w:p>
      <w:pPr>
        <w:pStyle w:val="ListBullet"/>
      </w:pPr>
      <w:r>
        <w:t>Risk acceptance must be documented and revalidated each quarter.</w:t>
      </w:r>
    </w:p>
    <w:p>
      <w:pPr>
        <w:pStyle w:val="ListBullet"/>
      </w:pPr>
      <w:r>
        <w:t>Teams must log requests in Slack and track outcomes in Payment Processing Service for audit readiness.</w:t>
      </w:r>
    </w:p>
    <w:p>
      <w:pPr>
        <w:pStyle w:val="Heading1"/>
      </w:pPr>
      <w:r>
        <w:t>Audit Trail</w:t>
      </w:r>
    </w:p>
    <w:p>
      <w:r>
        <w:t>This document aligns with ISO 27001 requirements and supports EU data residency expectations. All changes require peer review and validation in the Payment Processing Service before production promotion. We prioritize customer impact, data integrity, and regulatory alignment.</w:t>
      </w:r>
    </w:p>
    <w:p>
      <w:pPr>
        <w:pStyle w:val="ListBullet"/>
      </w:pPr>
      <w:r>
        <w:t>The process integrates with Payment Processing Service and depends on GCP for telemetry signals.</w:t>
      </w:r>
    </w:p>
    <w:p>
      <w:pPr>
        <w:pStyle w:val="ListBullet"/>
      </w:pPr>
      <w:r>
        <w:t>Systems are monitored via GCP and alert routing in Slack.</w:t>
      </w:r>
    </w:p>
    <w:p>
      <w:pPr>
        <w:pStyle w:val="ListBullet"/>
      </w:pPr>
      <w:r>
        <w:t>This document aligns with ISO 27001 requirements and supports EU data residency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