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Compliance EU v3.0</w:t>
      </w:r>
    </w:p>
    <w:p>
      <w:r>
        <w:t>Department: Compliance</w:t>
      </w:r>
    </w:p>
    <w:p>
      <w:r>
        <w:t>Author: Riley Garcia</w:t>
      </w:r>
    </w:p>
    <w:p>
      <w:r>
        <w:t>Created date: 2023-12-30</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Escalations should follow the on-call rotation with a response target of 60 minutes. This document aligns with HIPAA requirements and supports EU data residency expectations. All changes require peer review and validation in the Ticketing Platform before production promotion.</w:t>
      </w:r>
    </w:p>
    <w:p>
      <w:r>
        <w:t>The process integrates with Ticketing Platform and depends on Okta for telemetry signals. The Compliance organization uses Okta to enforce consistent service baselines.</w:t>
      </w:r>
    </w:p>
    <w:p>
      <w:pPr>
        <w:pStyle w:val="ListBullet"/>
      </w:pPr>
      <w:r>
        <w:t>Systems are monitored via Okta and alert routing in Workday.</w:t>
      </w:r>
    </w:p>
    <w:p>
      <w:pPr>
        <w:pStyle w:val="ListBullet"/>
      </w:pPr>
      <w:r>
        <w:t>Stakeholders include the HR Business Partner, service owner, and compliance lead for approvals.</w:t>
      </w:r>
    </w:p>
    <w:p>
      <w:pPr>
        <w:pStyle w:val="ListBullet"/>
      </w:pPr>
      <w:r>
        <w:t>Regional teams in EU follow the same policy with localized legal review.</w:t>
      </w:r>
    </w:p>
    <w:p>
      <w:pPr>
        <w:pStyle w:val="ListBullet"/>
      </w:pPr>
      <w:r>
        <w:t>The Compliance organization uses Okta to enforce consistent service baselines.</w:t>
      </w:r>
    </w:p>
    <w:p>
      <w:pPr>
        <w:pStyle w:val="ListBullet"/>
      </w:pPr>
      <w:r>
        <w:t>All incidents are tagged with severity and mapped to service tiers.</w:t>
      </w:r>
    </w:p>
    <w:p>
      <w:pPr>
        <w:pStyle w:val="Heading1"/>
      </w:pPr>
      <w:r>
        <w:t>Approval Workflow</w:t>
      </w:r>
    </w:p>
    <w:p>
      <w:r>
        <w:t>All incidents are tagged with severity and mapped to service tiers. Audit sampling occurs monthly and is summarized in leadership dashboards. Escalations should follow the on-call rotation with a response target of 60 minutes. Stakeholders include the HR Business Partner, service owner, and compliance lead for approvals.</w:t>
      </w:r>
    </w:p>
    <w:p>
      <w:pPr>
        <w:pStyle w:val="ListBullet"/>
      </w:pPr>
      <w:r>
        <w:t>The process integrates with Ticketing Platform and depends on Okta for telemetry signals.</w:t>
      </w:r>
    </w:p>
    <w:p>
      <w:pPr>
        <w:pStyle w:val="ListBullet"/>
      </w:pPr>
      <w:r>
        <w:t>Evidence artifacts are retained in Workday for at least 12 months.</w:t>
      </w:r>
    </w:p>
    <w:p>
      <w:pPr>
        <w:pStyle w:val="ListBullet"/>
      </w:pPr>
      <w:r>
        <w:t>The process integrates with Ticketing Platform and depends on Okta for telemetry signals.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HR Business Partner</w:t>
            </w:r>
          </w:p>
        </w:tc>
        <w:tc>
          <w:tcPr>
            <w:tcW w:type="dxa" w:w="2880"/>
          </w:tcPr>
          <w:p>
            <w:r>
              <w:t>Planned</w:t>
            </w:r>
          </w:p>
        </w:tc>
      </w:tr>
      <w:tr>
        <w:tc>
          <w:tcPr>
            <w:tcW w:type="dxa" w:w="2880"/>
          </w:tcPr>
          <w:p>
            <w:r>
              <w:t>Backup validation</w:t>
            </w:r>
          </w:p>
        </w:tc>
        <w:tc>
          <w:tcPr>
            <w:tcW w:type="dxa" w:w="2880"/>
          </w:tcPr>
          <w:p>
            <w:r>
              <w:t>Compliance</w:t>
            </w:r>
          </w:p>
        </w:tc>
        <w:tc>
          <w:tcPr>
            <w:tcW w:type="dxa" w:w="2880"/>
          </w:tcPr>
          <w:p>
            <w:r>
              <w:t>In Progress</w:t>
            </w:r>
          </w:p>
        </w:tc>
      </w:tr>
      <w:tr>
        <w:tc>
          <w:tcPr>
            <w:tcW w:type="dxa" w:w="2880"/>
          </w:tcPr>
          <w:p>
            <w:r>
              <w:t>Patch window</w:t>
            </w:r>
          </w:p>
        </w:tc>
        <w:tc>
          <w:tcPr>
            <w:tcW w:type="dxa" w:w="2880"/>
          </w:tcPr>
          <w:p>
            <w:r>
              <w:t>Compliance</w:t>
            </w:r>
          </w:p>
        </w:tc>
        <w:tc>
          <w:tcPr>
            <w:tcW w:type="dxa" w:w="2880"/>
          </w:tcPr>
          <w:p>
            <w:r>
              <w:t>Planned</w:t>
            </w:r>
          </w:p>
        </w:tc>
      </w:tr>
      <w:tr>
        <w:tc>
          <w:tcPr>
            <w:tcW w:type="dxa" w:w="2880"/>
          </w:tcPr>
          <w:p>
            <w:r>
              <w:t>Backup validation</w:t>
            </w:r>
          </w:p>
        </w:tc>
        <w:tc>
          <w:tcPr>
            <w:tcW w:type="dxa" w:w="2880"/>
          </w:tcPr>
          <w:p>
            <w:r>
              <w:t>Security</w:t>
            </w:r>
          </w:p>
        </w:tc>
        <w:tc>
          <w:tcPr>
            <w:tcW w:type="dxa" w:w="2880"/>
          </w:tcPr>
          <w:p>
            <w:r>
              <w:t>Planned</w:t>
            </w:r>
          </w:p>
        </w:tc>
      </w:tr>
    </w:tbl>
    <w:p>
      <w:pPr>
        <w:pStyle w:val="Heading1"/>
      </w:pPr>
      <w:r>
        <w:t>Budget Controls</w:t>
      </w:r>
    </w:p>
    <w:p>
      <w:r>
        <w:t>The Compliance organization uses Okta to enforce consistent service baselines. The Compliance organization uses Okta to enforce consistent service baselines.</w:t>
      </w:r>
    </w:p>
    <w:p>
      <w:pPr>
        <w:pStyle w:val="ListBullet"/>
      </w:pPr>
      <w:r>
        <w:t>All changes require peer review and validation in the Ticketing Platform before production promotion.</w:t>
      </w:r>
    </w:p>
    <w:p>
      <w:pPr>
        <w:pStyle w:val="ListBullet"/>
      </w:pPr>
      <w:r>
        <w:t>The process integrates with Ticketing Platform and depends on Okta for telemetry signals.</w:t>
      </w:r>
    </w:p>
    <w:p>
      <w:pPr>
        <w:pStyle w:val="ListBullet"/>
      </w:pPr>
      <w:r>
        <w:t>The process integrates with Ticketing Platform and depends on Okta for telemetry signals.</w:t>
      </w:r>
    </w:p>
    <w:p>
      <w:pPr>
        <w:pStyle w:val="ListBullet"/>
      </w:pPr>
      <w:r>
        <w:t>Evidence artifacts are retained in Workday for at least 12 months.</w:t>
      </w:r>
    </w:p>
    <w:p>
      <w:pPr>
        <w:pStyle w:val="Heading1"/>
      </w:pPr>
      <w:r>
        <w:t>Reporting</w:t>
      </w:r>
    </w:p>
    <w:p>
      <w:r>
        <w:t>Teams must log requests in Workday and track outcomes in Ticketing Platform for audit readiness. All incidents are tagged with severity and mapped to service tiers. Audit sampling occurs monthly and is summarized in leadership dashboards.</w:t>
      </w:r>
    </w:p>
    <w:p>
      <w:pPr>
        <w:pStyle w:val="ListBullet"/>
      </w:pPr>
      <w:r>
        <w:t>Audit sampling occurs monthly and is summarized in leadership dashboards.</w:t>
      </w:r>
    </w:p>
    <w:p>
      <w:pPr>
        <w:pStyle w:val="ListBullet"/>
      </w:pPr>
      <w:r>
        <w:t>The process integrates with Ticketing Platform and depends on Okta for telemetry signals.</w:t>
      </w:r>
    </w:p>
    <w:p>
      <w:pPr>
        <w:pStyle w:val="ListBullet"/>
      </w:pPr>
      <w:r>
        <w:t>This document aligns with HIPAA requirements and supports EU data residency expectations.</w:t>
      </w:r>
    </w:p>
    <w:p>
      <w:pPr>
        <w:pStyle w:val="ListBullet"/>
      </w:pPr>
      <w:r>
        <w:t>Systems are monitored via Okta and alert routing in Workday.</w:t>
      </w:r>
    </w:p>
    <w:p>
      <w:pPr>
        <w:pStyle w:val="ListBullet"/>
      </w:pPr>
      <w:r>
        <w:t>Stakeholders include the HR Business Partner, service owner, and compliance lead for approvals.</w:t>
      </w:r>
    </w:p>
    <w:p>
      <w:pPr>
        <w:pStyle w:val="Heading1"/>
      </w:pPr>
      <w:r>
        <w:t>Audit Trail</w:t>
      </w:r>
    </w:p>
    <w:p>
      <w:r>
        <w:t>Evidence artifacts are retained in Workday for at least 12 months. The process integrates with Ticketing Platform and depends on Okta for telemetry signals. The Compliance organization uses Okta to enforce consistent service baselines. Audit sampling occurs monthly and is summarized in leadership dashboards.</w:t>
      </w:r>
    </w:p>
    <w:p>
      <w:pPr>
        <w:pStyle w:val="ListBullet"/>
      </w:pPr>
      <w:r>
        <w:t>This document aligns with HIPAA requirements and supports EU data residency expectations.</w:t>
      </w:r>
    </w:p>
    <w:p>
      <w:pPr>
        <w:pStyle w:val="ListBullet"/>
      </w:pPr>
      <w:r>
        <w:t>Escalations should follow the on-call rotation with a response target of 60 minutes.</w:t>
      </w:r>
    </w:p>
    <w:p>
      <w:pPr>
        <w:pStyle w:val="ListBullet"/>
      </w:pPr>
      <w:r>
        <w:t>The Compliance organization uses Okta to enforce consistent service baselines.</w:t>
      </w:r>
    </w:p>
    <w:p>
      <w:pPr>
        <w:pStyle w:val="ListBullet"/>
      </w:pPr>
      <w:r>
        <w:t>We prioritize customer impact, data integrity, and regulatory alignment.</w:t>
      </w:r>
    </w:p>
    <w:p>
      <w:pPr>
        <w:pStyle w:val="ListBullet"/>
      </w:pPr>
      <w:r>
        <w:t>Systems are monitored via Okta and alert routing in Workday.</w:t>
      </w:r>
    </w:p>
    <w:p>
      <w:pPr>
        <w:pStyle w:val="ListBullet"/>
      </w:pPr>
      <w:r>
        <w:t>The Compliance team coordinates with HR Business Partner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