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Compliance US v2.1</w:t>
      </w:r>
    </w:p>
    <w:p>
      <w:r>
        <w:t>Department: Compliance</w:t>
      </w:r>
    </w:p>
    <w:p>
      <w:r>
        <w:t>Author: Avery Nguyen</w:t>
      </w:r>
    </w:p>
    <w:p>
      <w:r>
        <w:t>Created date: 2025-01-10</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Regional teams in US follow the same policy with localized legal review. Audit sampling occurs monthly and is summarized in leadership dashboards. All changes require peer review and validation in the Log Aggregation Cluster before production promotion.</w:t>
      </w:r>
    </w:p>
    <w:p>
      <w:r>
        <w:t>Evidence artifacts are retained in Workday for at least 18 months. This document aligns with HIPAA requirements and supports US data residency expectations. Teams must log requests in Workday and track outcomes in Log Aggregation Cluster for audit readiness.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The Compliance team coordinates with Procurement Lead to maintain operational readiness.</w:t>
      </w:r>
    </w:p>
    <w:p>
      <w:pPr>
        <w:pStyle w:val="ListBullet"/>
      </w:pPr>
      <w:r>
        <w:t>Evidence artifacts are retained in Workday for at least 18 months.</w:t>
      </w:r>
    </w:p>
    <w:p>
      <w:pPr>
        <w:pStyle w:val="ListBullet"/>
      </w:pPr>
      <w:r>
        <w:t>Escalations should follow the on-call rotation with a response target of 45 minutes.</w:t>
      </w:r>
    </w:p>
    <w:p>
      <w:pPr>
        <w:pStyle w:val="ListBullet"/>
      </w:pPr>
      <w:r>
        <w:t>The Compliance team coordinates with Procurement Lead to maintain operational readiness.</w:t>
      </w:r>
    </w:p>
    <w:p>
      <w:pPr>
        <w:pStyle w:val="Heading1"/>
      </w:pPr>
      <w:r>
        <w:t>Approval Workflow</w:t>
      </w:r>
    </w:p>
    <w:p>
      <w:r>
        <w:t>The Compliance organization uses Kubernetes to enforce consistent service baselines. The Compliance organization uses Kubernetes to enforce consistent service baselines. Systems are monitored via Kubernetes and alert routing in Workday. Audit sampling occurs monthly and is summarized in leadership dashboards.</w:t>
      </w:r>
    </w:p>
    <w:p>
      <w:r>
        <w:t>Teams must log requests in Workday and track outcomes in Log Aggregation Cluster for audit readiness. Regional teams in US follow the same policy with localized legal review.</w:t>
      </w:r>
    </w:p>
    <w:p>
      <w:pPr>
        <w:pStyle w:val="ListBullet"/>
      </w:pPr>
      <w:r>
        <w:t>The process integrates with Log Aggregation Cluster and depends on Kubernetes for telemetry signals.</w:t>
      </w:r>
    </w:p>
    <w:p>
      <w:pPr>
        <w:pStyle w:val="ListBullet"/>
      </w:pPr>
      <w:r>
        <w:t>The Compliance team coordinates with Procurement Lead to maintain operational readiness.</w:t>
      </w:r>
    </w:p>
    <w:p>
      <w:pPr>
        <w:pStyle w:val="ListBullet"/>
      </w:pPr>
      <w:r>
        <w:t>The Compliance organization uses Kubernetes to enforce consistent service baselines.</w:t>
      </w:r>
    </w:p>
    <w:p>
      <w:pPr>
        <w:pStyle w:val="ListBullet"/>
      </w:pPr>
      <w:r>
        <w:t>This document aligns with HIPAA requirements and supports US data residency expectations.</w:t>
      </w:r>
    </w:p>
    <w:p>
      <w:pPr>
        <w:pStyle w:val="Heading1"/>
      </w:pPr>
      <w:r>
        <w:t>Budget Controls</w:t>
      </w:r>
    </w:p>
    <w:p>
      <w:r>
        <w:t>Audit sampling occurs monthly and is summarized in leadership dashboards. The Compliance team coordinates with Procurement Lead to maintain operational readiness.</w:t>
      </w:r>
    </w:p>
    <w:p>
      <w:r>
        <w:t>The Compliance team coordinates with Procurement Lead to maintain operational readiness. We prioritize customer impact, data integrity, and regulatory alignment.</w:t>
      </w:r>
    </w:p>
    <w:p>
      <w:pPr>
        <w:pStyle w:val="ListBullet"/>
      </w:pPr>
      <w:r>
        <w:t>Stakeholders include the Procurement Lead, service owner, and compliance lead for approvals.</w:t>
      </w:r>
    </w:p>
    <w:p>
      <w:pPr>
        <w:pStyle w:val="ListBullet"/>
      </w:pPr>
      <w:r>
        <w:t>Stakeholders include the Procurement Lead, service owner, and compliance lead for approvals.</w:t>
      </w:r>
    </w:p>
    <w:p>
      <w:pPr>
        <w:pStyle w:val="ListBullet"/>
      </w:pPr>
      <w:r>
        <w:t>Risk acceptance must be documented and revalidated each quarter.</w:t>
      </w:r>
    </w:p>
    <w:p>
      <w:pPr>
        <w:pStyle w:val="ListBullet"/>
      </w:pPr>
      <w:r>
        <w:t>The Compliance team coordinates with Procurement Lead to maintain operational readiness.</w:t>
      </w:r>
    </w:p>
    <w:p>
      <w:pPr>
        <w:pStyle w:val="ListBullet"/>
      </w:pPr>
      <w:r>
        <w:t>Escalations should follow the on-call rotation with a response target of 45 minutes.</w:t>
      </w:r>
    </w:p>
    <w:p>
      <w:pPr>
        <w:pStyle w:val="ListBullet"/>
      </w:pPr>
      <w:r>
        <w:t>Teams must log requests in Workday and track outcomes in Log Aggregation Cluster for audit readiness.</w:t>
      </w:r>
    </w:p>
    <w:p>
      <w:pPr>
        <w:pStyle w:val="Heading1"/>
      </w:pPr>
      <w:r>
        <w:t>Reporting</w:t>
      </w:r>
    </w:p>
    <w:p>
      <w:r>
        <w:t>Escalations should follow the on-call rotation with a response target of 45 minutes. Stakeholders include the Procurement Lead, service owner, and compliance lead for approvals. Risk acceptance must be documented and revalidated each quarter.</w:t>
      </w:r>
    </w:p>
    <w:p>
      <w:r>
        <w:t>Regional teams in US follow the same policy with localized legal review. Stakeholders include the Procurement Lead, service owner, and compliance lead for approvals. The process integrates with Log Aggregation Cluster and depends on Kubernetes for telemetry signals. Escalations should follow the on-call rotation with a response target of 45 minutes.</w:t>
      </w:r>
    </w:p>
    <w:p>
      <w:pPr>
        <w:pStyle w:val="ListBullet"/>
      </w:pPr>
      <w:r>
        <w:t>All changes require peer review and validation in the Log Aggregation Cluster before production promotion.</w:t>
      </w:r>
    </w:p>
    <w:p>
      <w:pPr>
        <w:pStyle w:val="ListBullet"/>
      </w:pPr>
      <w:r>
        <w:t>The Compliance organization uses Kubernetes to enforce consistent service baselines.</w:t>
      </w:r>
    </w:p>
    <w:p>
      <w:pPr>
        <w:pStyle w:val="ListBullet"/>
      </w:pPr>
      <w:r>
        <w:t>Stakeholders include the Procurement Lead, service owner, and compliance lead for approvals.</w:t>
      </w:r>
    </w:p>
    <w:p>
      <w:pPr>
        <w:pStyle w:val="ListBullet"/>
      </w:pPr>
      <w:r>
        <w:t>Evidence artifacts are retained in Workday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Compliance</w:t>
            </w:r>
          </w:p>
        </w:tc>
        <w:tc>
          <w:tcPr>
            <w:tcW w:type="dxa" w:w="2880"/>
          </w:tcPr>
          <w:p>
            <w:r>
              <w:t>In Progress</w:t>
            </w:r>
          </w:p>
        </w:tc>
      </w:tr>
      <w:tr>
        <w:tc>
          <w:tcPr>
            <w:tcW w:type="dxa" w:w="2880"/>
          </w:tcPr>
          <w:p>
            <w:r>
              <w:t>Access review</w:t>
            </w:r>
          </w:p>
        </w:tc>
        <w:tc>
          <w:tcPr>
            <w:tcW w:type="dxa" w:w="2880"/>
          </w:tcPr>
          <w:p>
            <w:r>
              <w:t>Compliance</w:t>
            </w:r>
          </w:p>
        </w:tc>
        <w:tc>
          <w:tcPr>
            <w:tcW w:type="dxa" w:w="2880"/>
          </w:tcPr>
          <w:p>
            <w:r>
              <w:t>Complete</w:t>
            </w:r>
          </w:p>
        </w:tc>
      </w:tr>
      <w:tr>
        <w:tc>
          <w:tcPr>
            <w:tcW w:type="dxa" w:w="2880"/>
          </w:tcPr>
          <w:p>
            <w:r>
              <w:t>Patch window</w:t>
            </w:r>
          </w:p>
        </w:tc>
        <w:tc>
          <w:tcPr>
            <w:tcW w:type="dxa" w:w="2880"/>
          </w:tcPr>
          <w:p>
            <w:r>
              <w:t>Security</w:t>
            </w:r>
          </w:p>
        </w:tc>
        <w:tc>
          <w:tcPr>
            <w:tcW w:type="dxa" w:w="2880"/>
          </w:tcPr>
          <w:p>
            <w:r>
              <w:t>Complete</w:t>
            </w:r>
          </w:p>
        </w:tc>
      </w:tr>
    </w:tbl>
    <w:p>
      <w:pPr>
        <w:pStyle w:val="Heading1"/>
      </w:pPr>
      <w:r>
        <w:t>Audit Trail</w:t>
      </w:r>
    </w:p>
    <w:p>
      <w:r>
        <w:t>All changes require peer review and validation in the Log Aggregation Cluster before production promotion. Teams must log requests in Workday and track outcomes in Log Aggregation Cluster for audit readiness.</w:t>
      </w:r>
    </w:p>
    <w:p>
      <w:r>
        <w:t>The Compliance organization uses Kubernetes to enforce consistent service baselines. The Compliance team coordinates with Procurement Lead to maintain operational readiness. Audit sampling occurs monthly and is summarized in leadership dashboards. Teams must log requests in Workday and track outcomes in Log Aggregation Cluster for audit readiness.</w:t>
      </w:r>
    </w:p>
    <w:p>
      <w:pPr>
        <w:pStyle w:val="ListBullet"/>
      </w:pPr>
      <w:r>
        <w:t>Systems are monitored via Kubernetes and alert routing in Workday.</w:t>
      </w:r>
    </w:p>
    <w:p>
      <w:pPr>
        <w:pStyle w:val="ListBullet"/>
      </w:pPr>
      <w:r>
        <w:t>Teams must log requests in Workday and track outcomes in Log Aggregation Cluster for audit readiness.</w:t>
      </w:r>
    </w:p>
    <w:p>
      <w:pPr>
        <w:pStyle w:val="ListBullet"/>
      </w:pPr>
      <w:r>
        <w:t>Evidence artifacts are retained in Workday for at least 18 months.</w:t>
      </w:r>
    </w:p>
    <w:p>
      <w:pPr>
        <w:pStyle w:val="ListBullet"/>
      </w:pPr>
      <w:r>
        <w:t>Regional teams in US follow the same policy with localized legal review.</w:t>
      </w:r>
    </w:p>
    <w:p>
      <w:pPr>
        <w:pStyle w:val="ListBullet"/>
      </w:pPr>
      <w:r>
        <w:t>The process integrates with Log Aggregation Cluster and depends on Kubernetes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