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Data Platform EU v1.2</w:t>
      </w:r>
    </w:p>
    <w:p>
      <w:r>
        <w:t>Department: Data Platform</w:t>
      </w:r>
    </w:p>
    <w:p>
      <w:r>
        <w:t>Author: Riley Lee</w:t>
      </w:r>
    </w:p>
    <w:p>
      <w:r>
        <w:t>Created date: 2025-05-14</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Audit sampling occurs monthly and is summarized in leadership dashboards. Evidence artifacts are retained in Jira for at least 12 months. This document aligns with SOC 2 requirements and supports EU data residency expectations.</w:t>
      </w:r>
    </w:p>
    <w:p>
      <w:r>
        <w:t>Risk acceptance must be documented and revalidated each quarter. Escalations should follow the on-call rotation with a response target of 30 minutes. Regional teams in EU follow the same policy with localized legal review.</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Evidence artifacts are retained in Jira for at least 12 months.</w:t>
      </w:r>
    </w:p>
    <w:p>
      <w:pPr>
        <w:pStyle w:val="ListBullet"/>
      </w:pPr>
      <w:r>
        <w:t>Systems are monitored via Kubernetes and alert routing in Jira.</w:t>
      </w:r>
    </w:p>
    <w:p>
      <w:pPr>
        <w:pStyle w:val="Heading1"/>
      </w:pPr>
      <w:r>
        <w:t>Approval Workflow</w:t>
      </w:r>
    </w:p>
    <w:p>
      <w:r>
        <w:t>All changes require peer review and validation in the Monitoring Stack before production promotion. Systems are monitored via Kubernetes and alert routing in Jira. Stakeholders include the HR Business Partner, service owner, and compliance lead for approvals.</w:t>
      </w:r>
    </w:p>
    <w:p>
      <w:r>
        <w:t>Systems are monitored via Kubernetes and alert routing in Jira. Audit sampling occurs monthly and is summarized in leadership dashboards. The Data Platform organization uses Kubernetes to enforce consistent service baselines. Systems are monitored via Kubernetes and alert routing in Jira.</w:t>
      </w:r>
    </w:p>
    <w:p>
      <w:pPr>
        <w:pStyle w:val="ListBullet"/>
      </w:pPr>
      <w:r>
        <w:t>This document aligns with SOC 2 requirements and supports EU data residency expectations.</w:t>
      </w:r>
    </w:p>
    <w:p>
      <w:pPr>
        <w:pStyle w:val="ListBullet"/>
      </w:pPr>
      <w:r>
        <w:t>All incidents are tagged with severity and mapped to service tiers.</w:t>
      </w:r>
    </w:p>
    <w:p>
      <w:pPr>
        <w:pStyle w:val="ListBullet"/>
      </w:pPr>
      <w:r>
        <w:t>Escalations should follow the on-call rotation with a response target of 30 minutes.</w:t>
      </w:r>
    </w:p>
    <w:p>
      <w:pPr>
        <w:pStyle w:val="ListBullet"/>
      </w:pPr>
      <w:r>
        <w:t>Systems are monitored via Kubernetes and alert routing in Jira.</w:t>
      </w:r>
    </w:p>
    <w:p>
      <w:pPr>
        <w:pStyle w:val="ListBullet"/>
      </w:pPr>
      <w:r>
        <w:t>We prioritize customer impact, data integrity, and regulatory alignment.</w:t>
      </w:r>
    </w:p>
    <w:p>
      <w:pPr>
        <w:pStyle w:val="Heading1"/>
      </w:pPr>
      <w:r>
        <w:t>Budget Controls</w:t>
      </w:r>
    </w:p>
    <w:p>
      <w:r>
        <w:t>Stakeholders include the HR Business Partner, service owner, and compliance lead for approvals. The Data Platform team coordinates with HR Business Partner to maintain operational readiness. Audit sampling occurs monthly and is summarized in leadership dashboards.</w:t>
      </w:r>
    </w:p>
    <w:p>
      <w:r>
        <w:t>Stakeholders include the HR Business Partner, service owner, and compliance lead for approvals. This document aligns with SOC 2 requirements and supports EU data residency expectations.</w:t>
      </w:r>
    </w:p>
    <w:p>
      <w:pPr>
        <w:pStyle w:val="ListBullet"/>
      </w:pPr>
      <w:r>
        <w:t>Stakeholders include the HR Business Partner, service owner, and compliance lead for approvals.</w:t>
      </w:r>
    </w:p>
    <w:p>
      <w:pPr>
        <w:pStyle w:val="ListBullet"/>
      </w:pPr>
      <w:r>
        <w:t>Audit sampling occurs monthly and is summarized in leadership dashboards.</w:t>
      </w:r>
    </w:p>
    <w:p>
      <w:pPr>
        <w:pStyle w:val="ListBullet"/>
      </w:pPr>
      <w:r>
        <w:t>Systems are monitored via Kubernetes and alert routing in Jira.</w:t>
      </w:r>
    </w:p>
    <w:p>
      <w:pPr>
        <w:pStyle w:val="ListBullet"/>
      </w:pPr>
      <w:r>
        <w:t>We prioritize customer impact, data integrity, and regulatory alignment.</w:t>
      </w:r>
    </w:p>
    <w:p>
      <w:pPr>
        <w:pStyle w:val="ListBullet"/>
      </w:pPr>
      <w:r>
        <w:t>The Data Platform team coordinates with HR Business Partner to maintain operational readiness.</w:t>
      </w:r>
    </w:p>
    <w:p>
      <w:pPr>
        <w:pStyle w:val="Heading1"/>
      </w:pPr>
      <w:r>
        <w:t>Reporting</w:t>
      </w:r>
    </w:p>
    <w:p>
      <w:r>
        <w:t>Systems are monitored via Kubernetes and alert routing in Jira. Escalations should follow the on-call rotation with a response target of 30 minutes.</w:t>
      </w:r>
    </w:p>
    <w:p>
      <w:r>
        <w:t>Systems are monitored via Kubernetes and alert routing in Jira. This document aligns with SOC 2 requirements and supports EU data residency expectations. The Data Platform organization uses Kubernetes to enforce consistent service baselines. Risk acceptance must be documented and revalidated each quarter.</w:t>
      </w:r>
    </w:p>
    <w:p>
      <w:pPr>
        <w:pStyle w:val="ListBullet"/>
      </w:pPr>
      <w:r>
        <w:t>Regional teams in EU follow the same policy with localized legal review.</w:t>
      </w:r>
    </w:p>
    <w:p>
      <w:pPr>
        <w:pStyle w:val="ListBullet"/>
      </w:pPr>
      <w:r>
        <w:t>All changes require peer review and validation in the Monitoring Stack before production promotion.</w:t>
      </w:r>
    </w:p>
    <w:p>
      <w:pPr>
        <w:pStyle w:val="ListBullet"/>
      </w:pPr>
      <w:r>
        <w:t>This document aligns with SOC 2 requirements and supports EU data residency expectations.</w:t>
      </w:r>
    </w:p>
    <w:p>
      <w:pPr>
        <w:pStyle w:val="ListBullet"/>
      </w:pPr>
      <w:r>
        <w:t>The Data Platform organization uses Kubernetes to enforce consistent service baselines.</w:t>
      </w:r>
    </w:p>
    <w:p>
      <w:pPr>
        <w:pStyle w:val="ListBullet"/>
      </w:pPr>
      <w:r>
        <w:t>The process integrates with Monitoring Stack and depends on Kubernetes for telemetry signals.</w:t>
      </w:r>
    </w:p>
    <w:p>
      <w:pPr>
        <w:pStyle w:val="Heading1"/>
      </w:pPr>
      <w:r>
        <w:t>Audit Trail</w:t>
      </w:r>
    </w:p>
    <w:p>
      <w:r>
        <w:t>This document aligns with SOC 2 requirements and supports EU data residency expectations. Escalations should follow the on-call rotation with a response target of 30 minutes. Teams must log requests in Jira and track outcomes in Monitoring Stack for audit readiness. We prioritize customer impact, data integrity, and regulatory alignment.</w:t>
      </w:r>
    </w:p>
    <w:p>
      <w:pPr>
        <w:pStyle w:val="ListBullet"/>
      </w:pPr>
      <w:r>
        <w:t>Evidence artifacts are retained in Jira for at least 12 months.</w:t>
      </w:r>
    </w:p>
    <w:p>
      <w:pPr>
        <w:pStyle w:val="ListBullet"/>
      </w:pPr>
      <w:r>
        <w:t>Stakeholders include the HR Business Partner, service owner, and compliance lead for approvals.</w:t>
      </w:r>
    </w:p>
    <w:p>
      <w:pPr>
        <w:pStyle w:val="ListBullet"/>
      </w:pPr>
      <w:r>
        <w:t>Risk acceptance must be documented and revalidated each quarter.</w:t>
      </w:r>
    </w:p>
    <w:p>
      <w:pPr>
        <w:pStyle w:val="ListBullet"/>
      </w:pPr>
      <w:r>
        <w:t>Stakeholders include the HR Business Partner, service owner, and compliance lead for approvals.</w:t>
      </w:r>
    </w:p>
    <w:p>
      <w:pPr>
        <w:pStyle w:val="ListBullet"/>
      </w:pPr>
      <w:r>
        <w:t>All changes require peer review and validation in the Monitoring Stack before production promotion.</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Vendor check</w:t>
            </w:r>
          </w:p>
        </w:tc>
        <w:tc>
          <w:tcPr>
            <w:tcW w:type="dxa" w:w="2880"/>
          </w:tcPr>
          <w:p>
            <w:r>
              <w:t>HR Business Partner</w:t>
            </w:r>
          </w:p>
        </w:tc>
        <w:tc>
          <w:tcPr>
            <w:tcW w:type="dxa" w:w="2880"/>
          </w:tcPr>
          <w:p>
            <w:r>
              <w:t>Planned</w:t>
            </w:r>
          </w:p>
        </w:tc>
      </w:tr>
      <w:tr>
        <w:tc>
          <w:tcPr>
            <w:tcW w:type="dxa" w:w="2880"/>
          </w:tcPr>
          <w:p>
            <w:r>
              <w:t>Patch window</w:t>
            </w:r>
          </w:p>
        </w:tc>
        <w:tc>
          <w:tcPr>
            <w:tcW w:type="dxa" w:w="2880"/>
          </w:tcPr>
          <w:p>
            <w:r>
              <w:t>HR Business Partner</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