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Finance Policies - Engineering EU v1.1</w:t>
      </w:r>
    </w:p>
    <w:p>
      <w:r>
        <w:t>Department: Engineering</w:t>
      </w:r>
    </w:p>
    <w:p>
      <w:r>
        <w:t>Author: Morgan Brown</w:t>
      </w:r>
    </w:p>
    <w:p>
      <w:r>
        <w:t>Created date: 2026-02-04</w:t>
      </w:r>
    </w:p>
    <w:p>
      <w:r>
        <w:t>Region: EU</w:t>
      </w:r>
    </w:p>
    <w:p>
      <w:r>
        <w:t>Version: 1.1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Policy Statement</w:t>
      </w:r>
    </w:p>
    <w:p>
      <w:r>
        <w:t>All incidents are tagged with severity and mapped to service tiers. All incidents are tagged with severity and mapped to service tiers. Stakeholders include the Finance Analyst, service owner, and compliance lead for approvals. Evidence artifacts are retained in Workday for at least 12 months.</w:t>
      </w:r>
    </w:p>
    <w:p>
      <w:r>
        <w:t>Stakeholders include the Finance Analyst, service owner, and compliance lead for approvals. Evidence artifacts are retained in Workday for at least 12 months. Regional teams in EU follow the same policy with localized legal review.</w:t>
      </w:r>
    </w:p>
    <w:p>
      <w:pPr>
        <w:pStyle w:val="ListBullet"/>
      </w:pPr>
      <w:r>
        <w:t>Evidence artifacts are retained in Workday for at least 12 months.</w:t>
      </w:r>
    </w:p>
    <w:p>
      <w:pPr>
        <w:pStyle w:val="ListBullet"/>
      </w:pPr>
      <w:r>
        <w:t>This document aligns with HIPAA requirements and supports EU data residency expectations.</w:t>
      </w:r>
    </w:p>
    <w:p>
      <w:pPr>
        <w:pStyle w:val="ListBullet"/>
      </w:pPr>
      <w:r>
        <w:t>Systems are monitored via PostgreSQL and alert routing in Workday.</w:t>
      </w:r>
    </w:p>
    <w:p>
      <w:pPr>
        <w:pStyle w:val="ListBullet"/>
      </w:pPr>
      <w:r>
        <w:t>Audit sampling occurs monthly and is summarized in leadership dashboards.</w:t>
      </w:r>
    </w:p>
    <w:p>
      <w:pPr>
        <w:pStyle w:val="Heading1"/>
      </w:pPr>
      <w:r>
        <w:t>Approval Workflow</w:t>
      </w:r>
    </w:p>
    <w:p>
      <w:r>
        <w:t>The process integrates with Endpoint Management and depends on PostgreSQL for telemetry signals. Systems are monitored via PostgreSQL and alert routing in Workday. We prioritize customer impact, data integrity, and regulatory alignment. Risk acceptance must be documented and revalidated each quarter.</w:t>
      </w:r>
    </w:p>
    <w:p>
      <w:r>
        <w:t>The process integrates with Endpoint Management and depends on PostgreSQL for telemetry signals. The Engineering organization uses PostgreSQL to enforce consistent service baselines. We prioritize customer impact, data integrity, and regulatory alignment.</w:t>
      </w:r>
    </w:p>
    <w:p>
      <w:pPr>
        <w:pStyle w:val="ListBullet"/>
      </w:pPr>
      <w:r>
        <w:t>Risk acceptance must be documented and revalidated each quarter.</w:t>
      </w:r>
    </w:p>
    <w:p>
      <w:pPr>
        <w:pStyle w:val="ListBullet"/>
      </w:pPr>
      <w:r>
        <w:t>Audit sampling occurs monthly and is summarized in leadership dashboards.</w:t>
      </w:r>
    </w:p>
    <w:p>
      <w:pPr>
        <w:pStyle w:val="ListBullet"/>
      </w:pPr>
      <w:r>
        <w:t>Systems are monitored via PostgreSQL and alert routing in Workday.</w:t>
      </w:r>
    </w:p>
    <w:p>
      <w:pPr>
        <w:pStyle w:val="ListBullet"/>
      </w:pPr>
      <w:r>
        <w:t>Regional teams in EU follow the same policy with localized legal review.</w:t>
      </w:r>
    </w:p>
    <w:p>
      <w:pPr>
        <w:pStyle w:val="Heading1"/>
      </w:pPr>
      <w:r>
        <w:t>Budget Controls</w:t>
      </w:r>
    </w:p>
    <w:p>
      <w:r>
        <w:t>Audit sampling occurs monthly and is summarized in leadership dashboards. Audit sampling occurs monthly and is summarized in leadership dashboards.</w:t>
      </w:r>
    </w:p>
    <w:p>
      <w:r>
        <w:t>All incidents are tagged with severity and mapped to service tiers. The Engineering team coordinates with Finance Analyst to maintain operational readiness. All incidents are tagged with severity and mapped to service tiers. Escalations should follow the on-call rotation with a response target of 15 minutes.</w:t>
      </w:r>
    </w:p>
    <w:p>
      <w:pPr>
        <w:pStyle w:val="ListBullet"/>
      </w:pPr>
      <w:r>
        <w:t>Systems are monitored via PostgreSQL and alert routing in Workday.</w:t>
      </w:r>
    </w:p>
    <w:p>
      <w:pPr>
        <w:pStyle w:val="ListBullet"/>
      </w:pPr>
      <w:r>
        <w:t>The Engineering team coordinates with Finance Analyst to maintain operational readiness.</w:t>
      </w:r>
    </w:p>
    <w:p>
      <w:pPr>
        <w:pStyle w:val="ListBullet"/>
      </w:pPr>
      <w:r>
        <w:t>All changes require peer review and validation in the Endpoint Management before production promotion.</w:t>
      </w:r>
    </w:p>
    <w:p>
      <w:pPr>
        <w:pStyle w:val="ListBullet"/>
      </w:pPr>
      <w:r>
        <w:t>All changes require peer review and validation in the Endpoint Management before production promotion.</w:t>
      </w:r>
    </w:p>
    <w:p>
      <w:pPr>
        <w:pStyle w:val="ListBullet"/>
      </w:pPr>
      <w:r>
        <w:t>The Engineering organization uses PostgreSQL to enforce consistent service baselines.</w:t>
      </w:r>
    </w:p>
    <w:p>
      <w:pPr>
        <w:pStyle w:val="Heading1"/>
      </w:pPr>
      <w:r>
        <w:t>Reporting</w:t>
      </w:r>
    </w:p>
    <w:p>
      <w:r>
        <w:t>Audit sampling occurs monthly and is summarized in leadership dashboards. We prioritize customer impact, data integrity, and regulatory alignment.</w:t>
      </w:r>
    </w:p>
    <w:p>
      <w:r>
        <w:t>Systems are monitored via PostgreSQL and alert routing in Workday. Regional teams in EU follow the same policy with localized legal review.</w:t>
      </w:r>
    </w:p>
    <w:p>
      <w:pPr>
        <w:pStyle w:val="ListBullet"/>
      </w:pPr>
      <w:r>
        <w:t>All incidents are tagged with severity and mapped to service tiers.</w:t>
      </w:r>
    </w:p>
    <w:p>
      <w:pPr>
        <w:pStyle w:val="ListBullet"/>
      </w:pPr>
      <w:r>
        <w:t>Risk acceptance must be documented and revalidated each quarter.</w:t>
      </w:r>
    </w:p>
    <w:p>
      <w:pPr>
        <w:pStyle w:val="ListBullet"/>
      </w:pPr>
      <w:r>
        <w:t>This document aligns with HIPAA requirements and supports EU data residency expectations.</w:t>
      </w:r>
    </w:p>
    <w:p>
      <w:pPr>
        <w:pStyle w:val="ListBullet"/>
      </w:pPr>
      <w:r>
        <w:t>Audit sampling occurs monthly and is summarized in leadership dashboards.</w:t>
      </w:r>
    </w:p>
    <w:p>
      <w:pPr>
        <w:pStyle w:val="ListBullet"/>
      </w:pPr>
      <w:r>
        <w:t>Systems are monitored via PostgreSQL and alert routing in Workday.</w:t>
      </w:r>
    </w:p>
    <w:p>
      <w:pPr>
        <w:pStyle w:val="ListBullet"/>
      </w:pPr>
      <w:r>
        <w:t>Teams must log requests in Workday and track outcomes in Endpoint Management for audit readiness.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Operations</w:t>
            </w:r>
          </w:p>
        </w:tc>
        <w:tc>
          <w:tcPr>
            <w:tcW w:type="dxa" w:w="2880"/>
          </w:tcPr>
          <w:p>
            <w:r>
              <w:t>Planned</w:t>
            </w:r>
          </w:p>
        </w:tc>
      </w:tr>
      <w:tr>
        <w:tc>
          <w:tcPr>
            <w:tcW w:type="dxa" w:w="2880"/>
          </w:tcPr>
          <w:p>
            <w:r>
              <w:t>Incident drill</w:t>
            </w:r>
          </w:p>
        </w:tc>
        <w:tc>
          <w:tcPr>
            <w:tcW w:type="dxa" w:w="2880"/>
          </w:tcPr>
          <w:p>
            <w:r>
              <w:t>Engineering</w:t>
            </w:r>
          </w:p>
        </w:tc>
        <w:tc>
          <w:tcPr>
            <w:tcW w:type="dxa" w:w="2880"/>
          </w:tcPr>
          <w:p>
            <w:r>
              <w:t>In Progress</w:t>
            </w:r>
          </w:p>
        </w:tc>
      </w:tr>
      <w:tr>
        <w:tc>
          <w:tcPr>
            <w:tcW w:type="dxa" w:w="2880"/>
          </w:tcPr>
          <w:p>
            <w:r>
              <w:t>Vendor check</w:t>
            </w:r>
          </w:p>
        </w:tc>
        <w:tc>
          <w:tcPr>
            <w:tcW w:type="dxa" w:w="2880"/>
          </w:tcPr>
          <w:p>
            <w:r>
              <w:t>Engineering</w:t>
            </w:r>
          </w:p>
        </w:tc>
        <w:tc>
          <w:tcPr>
            <w:tcW w:type="dxa" w:w="2880"/>
          </w:tcPr>
          <w:p>
            <w:r>
              <w:t>Complete</w:t>
            </w:r>
          </w:p>
        </w:tc>
      </w:tr>
      <w:tr>
        <w:tc>
          <w:tcPr>
            <w:tcW w:type="dxa" w:w="2880"/>
          </w:tcPr>
          <w:p>
            <w:r>
              <w:t>Backup validation</w:t>
            </w:r>
          </w:p>
        </w:tc>
        <w:tc>
          <w:tcPr>
            <w:tcW w:type="dxa" w:w="2880"/>
          </w:tcPr>
          <w:p>
            <w:r>
              <w:t>Security</w:t>
            </w:r>
          </w:p>
        </w:tc>
        <w:tc>
          <w:tcPr>
            <w:tcW w:type="dxa" w:w="2880"/>
          </w:tcPr>
          <w:p>
            <w:r>
              <w:t>Blocked</w:t>
            </w:r>
          </w:p>
        </w:tc>
      </w:tr>
    </w:tbl>
    <w:p>
      <w:pPr>
        <w:pStyle w:val="Heading1"/>
      </w:pPr>
      <w:r>
        <w:t>Audit Trail</w:t>
      </w:r>
    </w:p>
    <w:p>
      <w:r>
        <w:t>This document aligns with HIPAA requirements and supports EU data residency expectations. Regional teams in EU follow the same policy with localized legal review.</w:t>
      </w:r>
    </w:p>
    <w:p>
      <w:pPr>
        <w:pStyle w:val="ListBullet"/>
      </w:pPr>
      <w:r>
        <w:t>All incidents are tagged with severity and mapped to service tiers.</w:t>
      </w:r>
    </w:p>
    <w:p>
      <w:pPr>
        <w:pStyle w:val="ListBullet"/>
      </w:pPr>
      <w:r>
        <w:t>Stakeholders include the Finance Analyst, service owner, and compliance lead for approvals.</w:t>
      </w:r>
    </w:p>
    <w:p>
      <w:pPr>
        <w:pStyle w:val="ListBullet"/>
      </w:pPr>
      <w:r>
        <w:t>Systems are monitored via PostgreSQL and alert routing in Workday.</w:t>
      </w:r>
    </w:p>
    <w:p>
      <w:pPr>
        <w:pStyle w:val="ListBullet"/>
      </w:pPr>
      <w:r>
        <w:t>We prioritize customer impact, data integrity, and regulatory alignment.</w:t>
      </w:r>
    </w:p>
    <w:p>
      <w:pPr>
        <w:pStyle w:val="ListBullet"/>
      </w:pPr>
      <w:r>
        <w:t>Regional teams in EU follow the same policy with localized legal review.</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Operations</w:t>
            </w:r>
          </w:p>
        </w:tc>
        <w:tc>
          <w:tcPr>
            <w:tcW w:type="dxa" w:w="2880"/>
          </w:tcPr>
          <w:p>
            <w:r>
              <w:t>Planned</w:t>
            </w:r>
          </w:p>
        </w:tc>
      </w:tr>
      <w:tr>
        <w:tc>
          <w:tcPr>
            <w:tcW w:type="dxa" w:w="2880"/>
          </w:tcPr>
          <w:p>
            <w:r>
              <w:t>Patch window</w:t>
            </w:r>
          </w:p>
        </w:tc>
        <w:tc>
          <w:tcPr>
            <w:tcW w:type="dxa" w:w="2880"/>
          </w:tcPr>
          <w:p>
            <w:r>
              <w:t>Security</w:t>
            </w:r>
          </w:p>
        </w:tc>
        <w:tc>
          <w:tcPr>
            <w:tcW w:type="dxa" w:w="2880"/>
          </w:tcPr>
          <w:p>
            <w:r>
              <w:t>In Progress</w:t>
            </w:r>
          </w:p>
        </w:tc>
      </w:tr>
      <w:tr>
        <w:tc>
          <w:tcPr>
            <w:tcW w:type="dxa" w:w="2880"/>
          </w:tcPr>
          <w:p>
            <w:r>
              <w:t>Backup validation</w:t>
            </w:r>
          </w:p>
        </w:tc>
        <w:tc>
          <w:tcPr>
            <w:tcW w:type="dxa" w:w="2880"/>
          </w:tcPr>
          <w:p>
            <w:r>
              <w:t>Finance Analyst</w:t>
            </w:r>
          </w:p>
        </w:tc>
        <w:tc>
          <w:tcPr>
            <w:tcW w:type="dxa" w:w="2880"/>
          </w:tcPr>
          <w:p>
            <w:r>
              <w:t>In Progress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